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A8" w:rsidRPr="000658A8" w:rsidRDefault="000658A8" w:rsidP="000658A8">
      <w:pPr>
        <w:spacing w:before="120" w:after="120" w:line="360" w:lineRule="auto"/>
        <w:jc w:val="right"/>
        <w:rPr>
          <w:rFonts w:ascii="Arial" w:hAnsi="Arial" w:cs="Arial"/>
          <w:b/>
          <w:lang w:val="en-US"/>
        </w:rPr>
      </w:pPr>
      <w:r w:rsidRPr="000658A8">
        <w:rPr>
          <w:rFonts w:ascii="Arial" w:hAnsi="Arial" w:cs="Arial"/>
          <w:b/>
          <w:lang w:val="en-US"/>
        </w:rPr>
        <w:t>ANNEXURE 7</w:t>
      </w:r>
    </w:p>
    <w:p w:rsidR="000658A8" w:rsidRPr="00F73633" w:rsidRDefault="000658A8" w:rsidP="00F7363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Arial" w:hAnsi="Arial" w:cs="Arial"/>
          <w:b/>
          <w:lang w:val="en-US"/>
        </w:rPr>
      </w:pPr>
      <w:r w:rsidRPr="00F73633">
        <w:rPr>
          <w:rFonts w:ascii="Arial" w:hAnsi="Arial" w:cs="Arial"/>
          <w:b/>
          <w:lang w:val="en-US"/>
        </w:rPr>
        <w:t>Plant Availability Factor (PAF)</w:t>
      </w:r>
    </w:p>
    <w:p w:rsidR="000658A8" w:rsidRPr="000658A8" w:rsidRDefault="000658A8" w:rsidP="000658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658A8">
        <w:rPr>
          <w:rFonts w:ascii="Arial" w:hAnsi="Arial" w:cs="Arial"/>
        </w:rPr>
        <w:t>Yearly plant availability factor shall be calculated as per the following formula:</w:t>
      </w:r>
    </w:p>
    <w:p w:rsidR="000658A8" w:rsidRPr="000658A8" w:rsidRDefault="000658A8" w:rsidP="000658A8">
      <w:pPr>
        <w:autoSpaceDE w:val="0"/>
        <w:autoSpaceDN w:val="0"/>
        <w:adjustRightInd w:val="0"/>
        <w:spacing w:before="120" w:after="120" w:line="360" w:lineRule="auto"/>
        <w:ind w:firstLine="360"/>
        <w:rPr>
          <w:rFonts w:ascii="Arial" w:eastAsia="CambriaMath" w:hAnsi="Arial" w:cs="Arial"/>
          <w:b/>
          <w:sz w:val="28"/>
        </w:rPr>
      </w:pPr>
      <w:r w:rsidRPr="000658A8">
        <w:rPr>
          <w:rFonts w:ascii="Arial" w:eastAsia="CambriaMath" w:hAnsi="Arial" w:cs="Arial"/>
          <w:b/>
          <w:sz w:val="28"/>
        </w:rPr>
        <w:t xml:space="preserve">100 − {[1 − </w:t>
      </w:r>
      <w:r w:rsidRPr="000658A8">
        <w:rPr>
          <w:rFonts w:ascii="Cambria Math" w:eastAsia="CambriaMath" w:hAnsi="Cambria Math" w:cs="Cambria Math"/>
          <w:b/>
          <w:sz w:val="28"/>
        </w:rPr>
        <w:t>𝐷𝐹𝑥</w:t>
      </w:r>
      <w:r w:rsidRPr="000658A8">
        <w:rPr>
          <w:rFonts w:ascii="Arial" w:eastAsia="CambriaMath" w:hAnsi="Arial" w:cs="Arial"/>
          <w:b/>
          <w:sz w:val="28"/>
        </w:rPr>
        <w:t xml:space="preserve"> </w:t>
      </w:r>
      <w:r w:rsidRPr="000658A8">
        <w:rPr>
          <w:rFonts w:ascii="Cambria Math" w:eastAsia="CambriaMath" w:hAnsi="Cambria Math" w:cs="Cambria Math"/>
          <w:b/>
          <w:sz w:val="28"/>
        </w:rPr>
        <w:t>𝑁</w:t>
      </w:r>
      <w:r w:rsidRPr="000658A8">
        <w:rPr>
          <w:rFonts w:ascii="Arial" w:eastAsia="CambriaMath" w:hAnsi="Arial" w:cs="Arial"/>
          <w:b/>
          <w:sz w:val="28"/>
        </w:rPr>
        <w:t>]</w:t>
      </w:r>
      <w:r w:rsidRPr="000658A8">
        <w:rPr>
          <w:rFonts w:ascii="Cambria Math" w:eastAsia="CambriaMath" w:hAnsi="Cambria Math" w:cs="Cambria Math"/>
          <w:b/>
          <w:sz w:val="28"/>
        </w:rPr>
        <w:t>𝑥</w:t>
      </w:r>
      <w:r w:rsidRPr="000658A8">
        <w:rPr>
          <w:rFonts w:ascii="Arial" w:eastAsia="CambriaMath" w:hAnsi="Arial" w:cs="Arial"/>
          <w:b/>
          <w:sz w:val="28"/>
        </w:rPr>
        <w:t xml:space="preserve"> </w:t>
      </w:r>
      <w:r w:rsidR="00DA444D">
        <w:rPr>
          <w:rFonts w:ascii="Arial" w:eastAsia="CambriaMath" w:hAnsi="Arial" w:cs="Arial"/>
          <w:b/>
          <w:sz w:val="28"/>
        </w:rPr>
        <w:t>[</w:t>
      </w:r>
      <w:r w:rsidRPr="000658A8">
        <w:rPr>
          <w:rFonts w:ascii="Arial" w:eastAsia="CambriaMath" w:hAnsi="Arial" w:cs="Arial"/>
          <w:b/>
          <w:sz w:val="28"/>
        </w:rPr>
        <w:t>Σ</w:t>
      </w:r>
      <w:r w:rsidRPr="000658A8">
        <w:rPr>
          <w:rFonts w:ascii="Cambria Math" w:eastAsia="CambriaMath" w:hAnsi="Cambria Math" w:cs="Cambria Math"/>
          <w:b/>
          <w:sz w:val="28"/>
        </w:rPr>
        <w:t>𝑖𝑊𝑖𝐻𝑖</w:t>
      </w:r>
      <w:r w:rsidRPr="000658A8">
        <w:rPr>
          <w:rFonts w:ascii="Arial" w:eastAsia="CambriaMath" w:hAnsi="Arial" w:cs="Arial"/>
          <w:b/>
          <w:sz w:val="28"/>
        </w:rPr>
        <w:t xml:space="preserve"> </w:t>
      </w:r>
      <w:r w:rsidR="00DA444D">
        <w:rPr>
          <w:rFonts w:ascii="Arial" w:eastAsia="CambriaMath" w:hAnsi="Arial" w:cs="Arial"/>
          <w:b/>
          <w:sz w:val="28"/>
        </w:rPr>
        <w:t>/(</w:t>
      </w:r>
      <w:r w:rsidRPr="000658A8">
        <w:rPr>
          <w:rFonts w:ascii="Arial" w:eastAsia="CambriaMath" w:hAnsi="Arial" w:cs="Arial"/>
          <w:b/>
          <w:sz w:val="28"/>
        </w:rPr>
        <w:t xml:space="preserve">8760 − </w:t>
      </w:r>
      <w:r w:rsidRPr="000658A8">
        <w:rPr>
          <w:rFonts w:ascii="Cambria Math" w:eastAsia="CambriaMath" w:hAnsi="Cambria Math" w:cs="Cambria Math"/>
          <w:b/>
          <w:sz w:val="28"/>
        </w:rPr>
        <w:t>𝐺𝑜𝑢𝑡</w:t>
      </w:r>
      <w:r w:rsidRPr="000658A8">
        <w:rPr>
          <w:rFonts w:ascii="Arial" w:eastAsia="CambriaMath" w:hAnsi="Arial" w:cs="Arial"/>
          <w:b/>
          <w:sz w:val="28"/>
        </w:rPr>
        <w:t>)</w:t>
      </w:r>
      <w:r w:rsidR="00DA444D">
        <w:rPr>
          <w:rFonts w:ascii="Arial" w:eastAsia="CambriaMath" w:hAnsi="Arial" w:cs="Arial"/>
          <w:b/>
          <w:sz w:val="28"/>
        </w:rPr>
        <w:t>]</w:t>
      </w:r>
      <w:r w:rsidRPr="000658A8">
        <w:rPr>
          <w:rFonts w:ascii="Arial" w:eastAsia="CambriaMath" w:hAnsi="Arial" w:cs="Arial"/>
          <w:b/>
          <w:sz w:val="28"/>
        </w:rPr>
        <w:t xml:space="preserve"> </w:t>
      </w:r>
      <w:r w:rsidRPr="000658A8">
        <w:rPr>
          <w:rFonts w:ascii="Cambria Math" w:eastAsia="CambriaMath" w:hAnsi="Cambria Math" w:cs="Cambria Math"/>
          <w:b/>
          <w:sz w:val="28"/>
        </w:rPr>
        <w:t>𝑥</w:t>
      </w:r>
      <w:r w:rsidRPr="000658A8">
        <w:rPr>
          <w:rFonts w:ascii="Arial" w:eastAsia="CambriaMath" w:hAnsi="Arial" w:cs="Arial"/>
          <w:b/>
          <w:sz w:val="28"/>
        </w:rPr>
        <w:t xml:space="preserve"> 100}</w:t>
      </w:r>
    </w:p>
    <w:p w:rsidR="000658A8" w:rsidRPr="000658A8" w:rsidRDefault="000658A8" w:rsidP="000658A8">
      <w:pPr>
        <w:autoSpaceDE w:val="0"/>
        <w:autoSpaceDN w:val="0"/>
        <w:adjustRightInd w:val="0"/>
        <w:spacing w:before="120" w:after="120" w:line="360" w:lineRule="auto"/>
        <w:ind w:firstLine="360"/>
        <w:rPr>
          <w:rFonts w:ascii="Arial" w:hAnsi="Arial" w:cs="Arial"/>
        </w:rPr>
      </w:pPr>
      <w:r w:rsidRPr="000658A8">
        <w:rPr>
          <w:rFonts w:ascii="Arial" w:hAnsi="Arial" w:cs="Arial"/>
        </w:rPr>
        <w:t>Where,</w:t>
      </w:r>
    </w:p>
    <w:p w:rsidR="000658A8" w:rsidRPr="000658A8" w:rsidRDefault="000658A8" w:rsidP="00F73633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>DF = Plant degradation factor, as per Manufacturer Power Output Warranty (1% per year for this case)</w:t>
      </w:r>
    </w:p>
    <w:p w:rsidR="000658A8" w:rsidRPr="000658A8" w:rsidRDefault="000658A8" w:rsidP="00F73633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F73633">
        <w:rPr>
          <w:rFonts w:ascii="Arial" w:hAnsi="Arial" w:cs="Arial"/>
        </w:rPr>
        <w:t xml:space="preserve">N = Number of years of operation </w:t>
      </w:r>
      <w:r w:rsidR="00F73633" w:rsidRPr="00F73633">
        <w:rPr>
          <w:rFonts w:ascii="Arial" w:hAnsi="Arial" w:cs="Arial"/>
        </w:rPr>
        <w:t xml:space="preserve"> from the date of operational acceptance of the project i.e.</w:t>
      </w:r>
      <w:r w:rsidR="008B7527" w:rsidRPr="00F73633">
        <w:rPr>
          <w:rFonts w:ascii="Arial" w:hAnsi="Arial" w:cs="Arial"/>
        </w:rPr>
        <w:t>01</w:t>
      </w:r>
      <w:r w:rsidR="008B7527" w:rsidRPr="00F73633">
        <w:rPr>
          <w:rFonts w:ascii="Arial" w:hAnsi="Arial" w:cs="Arial"/>
          <w:vertAlign w:val="superscript"/>
        </w:rPr>
        <w:t>st</w:t>
      </w:r>
      <w:r w:rsidR="008B7527" w:rsidRPr="00F73633">
        <w:rPr>
          <w:rFonts w:ascii="Arial" w:hAnsi="Arial" w:cs="Arial"/>
        </w:rPr>
        <w:t xml:space="preserve"> July 2017.</w:t>
      </w:r>
    </w:p>
    <w:p w:rsidR="000658A8" w:rsidRPr="000658A8" w:rsidRDefault="000658A8" w:rsidP="00F73633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>Wi = Equipment weightage factor</w:t>
      </w:r>
    </w:p>
    <w:p w:rsidR="000658A8" w:rsidRPr="000658A8" w:rsidRDefault="000658A8" w:rsidP="00F73633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>Hi = Equipment yearly unavailability hours</w:t>
      </w:r>
    </w:p>
    <w:p w:rsidR="000658A8" w:rsidRPr="000658A8" w:rsidRDefault="000658A8" w:rsidP="00F73633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>8760 = Total Number of solar hours in non-leap year. It shall be replaced by 8784 hours in leap year.</w:t>
      </w:r>
    </w:p>
    <w:p w:rsidR="000658A8" w:rsidRPr="000658A8" w:rsidRDefault="000658A8" w:rsidP="000658A8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>Gout = Total Grid outage hours in the year (as certified by DISCOM / NRSE Division, Electricity Dep’t. A&amp;N Administration</w:t>
      </w:r>
    </w:p>
    <w:p w:rsidR="000658A8" w:rsidRPr="000658A8" w:rsidRDefault="000658A8" w:rsidP="000658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 xml:space="preserve">Availability factor shall be calculated </w:t>
      </w:r>
      <w:r w:rsidR="007B6BBC">
        <w:rPr>
          <w:rFonts w:ascii="Arial" w:hAnsi="Arial" w:cs="Arial"/>
        </w:rPr>
        <w:t xml:space="preserve">(rounded off </w:t>
      </w:r>
      <w:proofErr w:type="spellStart"/>
      <w:r w:rsidR="007B6BBC">
        <w:rPr>
          <w:rFonts w:ascii="Arial" w:hAnsi="Arial" w:cs="Arial"/>
        </w:rPr>
        <w:t>upto</w:t>
      </w:r>
      <w:proofErr w:type="spellEnd"/>
      <w:r w:rsidR="007B6BBC">
        <w:rPr>
          <w:rFonts w:ascii="Arial" w:hAnsi="Arial" w:cs="Arial"/>
        </w:rPr>
        <w:t xml:space="preserve"> 2 decimal place) </w:t>
      </w:r>
      <w:r w:rsidRPr="000658A8">
        <w:rPr>
          <w:rFonts w:ascii="Arial" w:hAnsi="Arial" w:cs="Arial"/>
        </w:rPr>
        <w:t>on annual basis from the date of LOA till the culmination of the O&amp;M period</w:t>
      </w:r>
      <w:r w:rsidRPr="000658A8">
        <w:rPr>
          <w:rFonts w:ascii="Arial" w:hAnsi="Arial" w:cs="Arial"/>
          <w:sz w:val="20"/>
          <w:szCs w:val="20"/>
        </w:rPr>
        <w:t>.</w:t>
      </w:r>
    </w:p>
    <w:p w:rsidR="000658A8" w:rsidRPr="000658A8" w:rsidRDefault="000658A8" w:rsidP="000658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0658A8">
        <w:rPr>
          <w:rFonts w:ascii="Arial" w:hAnsi="Arial" w:cs="Arial"/>
        </w:rPr>
        <w:t>Availability of the following equipment along with the respective weightage factor shall be used for the calculation of availability factor.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2879"/>
        <w:gridCol w:w="2122"/>
        <w:gridCol w:w="758"/>
        <w:gridCol w:w="757"/>
        <w:gridCol w:w="758"/>
        <w:gridCol w:w="758"/>
      </w:tblGrid>
      <w:tr w:rsidR="002D0806" w:rsidRPr="000658A8" w:rsidTr="00AC3F98">
        <w:trPr>
          <w:trHeight w:val="516"/>
          <w:jc w:val="center"/>
        </w:trPr>
        <w:tc>
          <w:tcPr>
            <w:tcW w:w="752" w:type="dxa"/>
            <w:vMerge w:val="restart"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0658A8">
              <w:rPr>
                <w:rFonts w:ascii="Arial" w:hAnsi="Arial" w:cs="Arial"/>
                <w:b/>
              </w:rPr>
              <w:t xml:space="preserve">Sl. No. (i) </w:t>
            </w:r>
          </w:p>
        </w:tc>
        <w:tc>
          <w:tcPr>
            <w:tcW w:w="2879" w:type="dxa"/>
            <w:vMerge w:val="restart"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0658A8">
              <w:rPr>
                <w:rFonts w:ascii="Arial" w:hAnsi="Arial" w:cs="Arial"/>
                <w:b/>
                <w:bCs/>
              </w:rPr>
              <w:t>Equipment (</w:t>
            </w:r>
            <w:proofErr w:type="spellStart"/>
            <w:r w:rsidRPr="000658A8">
              <w:rPr>
                <w:rFonts w:ascii="Arial" w:hAnsi="Arial" w:cs="Arial"/>
                <w:b/>
                <w:bCs/>
              </w:rPr>
              <w:t>Ei</w:t>
            </w:r>
            <w:proofErr w:type="spellEnd"/>
            <w:r w:rsidRPr="000658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2" w:type="dxa"/>
            <w:vMerge w:val="restart"/>
            <w:vAlign w:val="center"/>
          </w:tcPr>
          <w:p w:rsidR="002D0806" w:rsidRPr="000658A8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0658A8">
              <w:rPr>
                <w:rFonts w:ascii="Arial" w:hAnsi="Arial" w:cs="Arial"/>
                <w:b/>
                <w:bCs/>
              </w:rPr>
              <w:t>Weightage Factor (Wi) per Equipment</w:t>
            </w:r>
          </w:p>
        </w:tc>
        <w:tc>
          <w:tcPr>
            <w:tcW w:w="2273" w:type="dxa"/>
            <w:gridSpan w:val="3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System </w:t>
            </w:r>
          </w:p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Downtime Period</w:t>
            </w:r>
          </w:p>
        </w:tc>
        <w:tc>
          <w:tcPr>
            <w:tcW w:w="758" w:type="dxa"/>
            <w:vMerge w:val="restart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 x Hi</w:t>
            </w:r>
          </w:p>
        </w:tc>
      </w:tr>
      <w:tr w:rsidR="00AC3F98" w:rsidRPr="000658A8" w:rsidTr="00AC3F98">
        <w:trPr>
          <w:trHeight w:val="516"/>
          <w:jc w:val="center"/>
        </w:trPr>
        <w:tc>
          <w:tcPr>
            <w:tcW w:w="752" w:type="dxa"/>
            <w:vMerge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79" w:type="dxa"/>
            <w:vMerge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:rsidR="002D0806" w:rsidRPr="000658A8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Eq. tripping time (A)</w:t>
            </w:r>
          </w:p>
        </w:tc>
        <w:tc>
          <w:tcPr>
            <w:tcW w:w="757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Eq. re-start time (B)</w:t>
            </w: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 = </w:t>
            </w:r>
          </w:p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B-A</w:t>
            </w:r>
          </w:p>
        </w:tc>
        <w:tc>
          <w:tcPr>
            <w:tcW w:w="758" w:type="dxa"/>
            <w:vMerge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3F98" w:rsidRPr="000658A8" w:rsidTr="00AC3F98">
        <w:trPr>
          <w:trHeight w:val="663"/>
          <w:jc w:val="center"/>
        </w:trPr>
        <w:tc>
          <w:tcPr>
            <w:tcW w:w="752" w:type="dxa"/>
            <w:vAlign w:val="center"/>
          </w:tcPr>
          <w:p w:rsidR="002D0806" w:rsidRPr="000658A8" w:rsidRDefault="002D0806" w:rsidP="002D080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9" w:type="dxa"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 w:rsidRPr="000658A8">
              <w:rPr>
                <w:rFonts w:ascii="Arial" w:hAnsi="Arial" w:cs="Arial"/>
              </w:rPr>
              <w:t>Main Outgoing Feeder,</w:t>
            </w:r>
            <w:r>
              <w:rPr>
                <w:rFonts w:ascii="Arial" w:hAnsi="Arial" w:cs="Arial"/>
              </w:rPr>
              <w:t xml:space="preserve"> </w:t>
            </w:r>
            <w:r w:rsidRPr="000658A8">
              <w:rPr>
                <w:rFonts w:ascii="Arial" w:hAnsi="Arial" w:cs="Arial"/>
              </w:rPr>
              <w:t>Transformer and</w:t>
            </w:r>
            <w:r>
              <w:rPr>
                <w:rFonts w:ascii="Arial" w:hAnsi="Arial" w:cs="Arial"/>
              </w:rPr>
              <w:t xml:space="preserve"> </w:t>
            </w:r>
            <w:r w:rsidRPr="000658A8">
              <w:rPr>
                <w:rFonts w:ascii="Arial" w:hAnsi="Arial" w:cs="Arial"/>
              </w:rPr>
              <w:t xml:space="preserve">associated </w:t>
            </w:r>
            <w:r>
              <w:rPr>
                <w:rFonts w:ascii="Arial" w:hAnsi="Arial" w:cs="Arial"/>
              </w:rPr>
              <w:t xml:space="preserve">AC </w:t>
            </w:r>
            <w:r w:rsidRPr="000658A8">
              <w:rPr>
                <w:rFonts w:ascii="Arial" w:hAnsi="Arial" w:cs="Arial"/>
              </w:rPr>
              <w:t>Cable</w:t>
            </w:r>
          </w:p>
        </w:tc>
        <w:tc>
          <w:tcPr>
            <w:tcW w:w="2122" w:type="dxa"/>
            <w:vAlign w:val="center"/>
          </w:tcPr>
          <w:p w:rsidR="002D0806" w:rsidRPr="000658A8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C3F98" w:rsidRPr="000658A8" w:rsidTr="00AC3F98">
        <w:trPr>
          <w:trHeight w:val="1008"/>
          <w:jc w:val="center"/>
        </w:trPr>
        <w:tc>
          <w:tcPr>
            <w:tcW w:w="752" w:type="dxa"/>
            <w:vAlign w:val="center"/>
          </w:tcPr>
          <w:p w:rsidR="002D0806" w:rsidRPr="000658A8" w:rsidRDefault="002D0806" w:rsidP="000658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9" w:type="dxa"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Inverter </w:t>
            </w:r>
            <w:r w:rsidRPr="000658A8">
              <w:rPr>
                <w:rFonts w:ascii="Arial" w:hAnsi="Arial" w:cs="Arial"/>
              </w:rPr>
              <w:t>and associated Cables</w:t>
            </w:r>
          </w:p>
        </w:tc>
        <w:tc>
          <w:tcPr>
            <w:tcW w:w="2122" w:type="dxa"/>
            <w:vAlign w:val="center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Each </w:t>
            </w:r>
            <w:r w:rsidRPr="007D55E1">
              <w:rPr>
                <w:rFonts w:ascii="Arial" w:hAnsi="Arial" w:cs="Arial"/>
                <w:szCs w:val="20"/>
              </w:rPr>
              <w:t>Inverter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7D55E1">
              <w:rPr>
                <w:rFonts w:ascii="Arial" w:hAnsi="Arial" w:cs="Arial"/>
                <w:szCs w:val="20"/>
              </w:rPr>
              <w:t>apacity</w:t>
            </w:r>
          </w:p>
          <w:p w:rsidR="002D0806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D55E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499EF8" wp14:editId="2964670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60325</wp:posOffset>
                      </wp:positionV>
                      <wp:extent cx="685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F6BB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4.75pt" to="70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D55E1">
              <w:rPr>
                <w:rFonts w:ascii="Arial" w:hAnsi="Arial" w:cs="Arial"/>
                <w:szCs w:val="20"/>
              </w:rPr>
              <w:t>Plant’s Installed Inverter Capacity</w:t>
            </w:r>
          </w:p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757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758" w:type="dxa"/>
          </w:tcPr>
          <w:p w:rsidR="002D0806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AC3F98" w:rsidRPr="000658A8" w:rsidTr="00AC3F98">
        <w:trPr>
          <w:trHeight w:val="819"/>
          <w:jc w:val="center"/>
        </w:trPr>
        <w:tc>
          <w:tcPr>
            <w:tcW w:w="752" w:type="dxa"/>
            <w:vAlign w:val="center"/>
          </w:tcPr>
          <w:p w:rsidR="002D0806" w:rsidRPr="000658A8" w:rsidRDefault="002D0806" w:rsidP="000658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9" w:type="dxa"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 w:rsidRPr="000658A8">
              <w:rPr>
                <w:rFonts w:ascii="Arial" w:hAnsi="Arial" w:cs="Arial"/>
              </w:rPr>
              <w:t>PV String and associated</w:t>
            </w:r>
            <w:r>
              <w:rPr>
                <w:rFonts w:ascii="Arial" w:hAnsi="Arial" w:cs="Arial"/>
              </w:rPr>
              <w:t xml:space="preserve"> </w:t>
            </w:r>
            <w:r w:rsidRPr="000658A8">
              <w:rPr>
                <w:rFonts w:ascii="Arial" w:hAnsi="Arial" w:cs="Arial"/>
              </w:rPr>
              <w:t>Cables</w:t>
            </w:r>
          </w:p>
        </w:tc>
        <w:tc>
          <w:tcPr>
            <w:tcW w:w="2122" w:type="dxa"/>
            <w:vAlign w:val="center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Each </w:t>
            </w:r>
            <w:r w:rsidRPr="007D55E1">
              <w:rPr>
                <w:rFonts w:ascii="Arial" w:hAnsi="Arial" w:cs="Arial"/>
                <w:szCs w:val="20"/>
              </w:rPr>
              <w:t>PV string Capacity</w:t>
            </w:r>
          </w:p>
          <w:p w:rsidR="002D0806" w:rsidRPr="007D55E1" w:rsidRDefault="001861A0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D55E1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D0AC8B" wp14:editId="5F780AC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84455</wp:posOffset>
                      </wp:positionV>
                      <wp:extent cx="7715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989A9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6.65pt" to="71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D0806" w:rsidRPr="00D00270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D55E1">
              <w:rPr>
                <w:rFonts w:ascii="Arial" w:hAnsi="Arial" w:cs="Arial"/>
                <w:szCs w:val="20"/>
              </w:rPr>
              <w:t xml:space="preserve">Plant’s Installed </w:t>
            </w:r>
            <w:r>
              <w:rPr>
                <w:rFonts w:ascii="Arial" w:hAnsi="Arial" w:cs="Arial"/>
                <w:szCs w:val="20"/>
              </w:rPr>
              <w:t xml:space="preserve">DC </w:t>
            </w:r>
            <w:r w:rsidRPr="007D55E1">
              <w:rPr>
                <w:rFonts w:ascii="Arial" w:hAnsi="Arial" w:cs="Arial"/>
                <w:szCs w:val="20"/>
              </w:rPr>
              <w:t>Capacity</w:t>
            </w:r>
          </w:p>
        </w:tc>
        <w:tc>
          <w:tcPr>
            <w:tcW w:w="758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57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58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58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C3F98" w:rsidRPr="000658A8" w:rsidTr="00AC3F98">
        <w:trPr>
          <w:trHeight w:val="516"/>
          <w:jc w:val="center"/>
        </w:trPr>
        <w:tc>
          <w:tcPr>
            <w:tcW w:w="752" w:type="dxa"/>
            <w:vAlign w:val="center"/>
          </w:tcPr>
          <w:p w:rsidR="002D0806" w:rsidRPr="000658A8" w:rsidRDefault="002D0806" w:rsidP="000658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9" w:type="dxa"/>
            <w:vAlign w:val="center"/>
          </w:tcPr>
          <w:p w:rsidR="002D0806" w:rsidRPr="000658A8" w:rsidRDefault="002D0806" w:rsidP="000658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BoS (</w:t>
            </w:r>
            <w:r w:rsidRPr="008B7527">
              <w:rPr>
                <w:rFonts w:ascii="Arial" w:hAnsi="Arial" w:cs="Arial"/>
              </w:rPr>
              <w:t xml:space="preserve">Energy Meter, LA, Earthing, LT Panel switches, MCCBs, AC/DC fuses, All other </w:t>
            </w:r>
            <w:r w:rsidR="00AC3F98" w:rsidRPr="008B7527">
              <w:rPr>
                <w:rFonts w:ascii="Arial" w:hAnsi="Arial" w:cs="Arial"/>
              </w:rPr>
              <w:t xml:space="preserve">spares </w:t>
            </w:r>
            <w:r w:rsidR="00AC3F98">
              <w:rPr>
                <w:rFonts w:ascii="Arial" w:hAnsi="Arial" w:cs="Arial"/>
              </w:rPr>
              <w:t xml:space="preserve">/ </w:t>
            </w:r>
            <w:r w:rsidRPr="008B7527">
              <w:rPr>
                <w:rFonts w:ascii="Arial" w:hAnsi="Arial" w:cs="Arial"/>
              </w:rPr>
              <w:t>consumables</w:t>
            </w:r>
            <w:r w:rsidR="00AC3F98">
              <w:rPr>
                <w:rFonts w:ascii="Arial" w:hAnsi="Arial" w:cs="Arial"/>
              </w:rPr>
              <w:t xml:space="preserve"> </w:t>
            </w:r>
            <w:r w:rsidRPr="008B7527">
              <w:rPr>
                <w:rFonts w:ascii="Arial" w:hAnsi="Arial" w:cs="Arial"/>
              </w:rPr>
              <w:t xml:space="preserve">which are not included in Owner’s supplied </w:t>
            </w:r>
            <w:r w:rsidR="00AC3F98">
              <w:rPr>
                <w:rFonts w:ascii="Arial" w:hAnsi="Arial" w:cs="Arial"/>
              </w:rPr>
              <w:t>material</w:t>
            </w:r>
            <w:r w:rsidRPr="008B7527">
              <w:rPr>
                <w:rFonts w:ascii="Arial" w:hAnsi="Arial" w:cs="Arial"/>
              </w:rPr>
              <w:t xml:space="preserve"> as mentioned at Para B of SoW and required for uninterrupted O&amp;M of the plant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22" w:type="dxa"/>
            <w:vAlign w:val="center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55E1">
              <w:rPr>
                <w:rFonts w:ascii="Arial" w:hAnsi="Arial" w:cs="Arial"/>
              </w:rPr>
              <w:t>0.2</w:t>
            </w:r>
          </w:p>
        </w:tc>
        <w:tc>
          <w:tcPr>
            <w:tcW w:w="758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:rsidR="002D0806" w:rsidRPr="007D55E1" w:rsidRDefault="002D0806" w:rsidP="00D0027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B2CC2" w:rsidRPr="009D55F8" w:rsidRDefault="006B2CC2" w:rsidP="007D55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highlight w:val="yellow"/>
        </w:rPr>
      </w:pPr>
      <w:r w:rsidRPr="009D55F8">
        <w:rPr>
          <w:rFonts w:ascii="Arial" w:hAnsi="Arial" w:cs="Arial"/>
          <w:highlight w:val="yellow"/>
        </w:rPr>
        <w:t xml:space="preserve">Final PAF will be </w:t>
      </w:r>
      <w:r w:rsidR="00414B5F" w:rsidRPr="009D55F8">
        <w:rPr>
          <w:rFonts w:ascii="Arial" w:hAnsi="Arial" w:cs="Arial"/>
          <w:highlight w:val="yellow"/>
        </w:rPr>
        <w:t xml:space="preserve">the weighted average of all plants put together over the year. </w:t>
      </w:r>
    </w:p>
    <w:p w:rsidR="003060A8" w:rsidRPr="009D55F8" w:rsidRDefault="003060A8" w:rsidP="003060A8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eastAsia="CambriaMath" w:hAnsi="Arial" w:cs="Arial"/>
          <w:b/>
          <w:sz w:val="28"/>
          <w:highlight w:val="yellow"/>
          <w:vertAlign w:val="subscript"/>
        </w:rPr>
      </w:pPr>
      <w:bookmarkStart w:id="0" w:name="_GoBack"/>
      <w:proofErr w:type="gramStart"/>
      <w:r w:rsidRPr="009D55F8">
        <w:rPr>
          <w:rFonts w:ascii="Arial" w:hAnsi="Arial" w:cs="Arial"/>
          <w:highlight w:val="yellow"/>
        </w:rPr>
        <w:t>PAF(</w:t>
      </w:r>
      <w:proofErr w:type="gramEnd"/>
      <w:r w:rsidRPr="009D55F8">
        <w:rPr>
          <w:rFonts w:ascii="Arial" w:hAnsi="Arial" w:cs="Arial"/>
          <w:highlight w:val="yellow"/>
        </w:rPr>
        <w:t>total) = (</w:t>
      </w:r>
      <w:r w:rsidRPr="009D55F8">
        <w:rPr>
          <w:rFonts w:ascii="Arial" w:eastAsia="CambriaMath" w:hAnsi="Arial" w:cs="Arial"/>
          <w:b/>
          <w:sz w:val="28"/>
          <w:highlight w:val="yellow"/>
        </w:rPr>
        <w:t>Σ</w:t>
      </w:r>
      <w:r w:rsidRPr="009D55F8">
        <w:rPr>
          <w:rFonts w:ascii="Arial" w:eastAsia="CambriaMath" w:hAnsi="Arial" w:cs="Arial"/>
          <w:b/>
          <w:sz w:val="28"/>
          <w:highlight w:val="yellow"/>
        </w:rPr>
        <w:t xml:space="preserve"> </w:t>
      </w:r>
      <w:proofErr w:type="spellStart"/>
      <w:r w:rsidRPr="009D55F8">
        <w:rPr>
          <w:rFonts w:ascii="Arial" w:hAnsi="Arial" w:cs="Arial"/>
          <w:b/>
          <w:bCs/>
          <w:highlight w:val="yellow"/>
        </w:rPr>
        <w:t>PAF</w:t>
      </w:r>
      <w:r w:rsidRPr="009D55F8">
        <w:rPr>
          <w:rFonts w:ascii="Arial" w:hAnsi="Arial" w:cs="Arial"/>
          <w:b/>
          <w:bCs/>
          <w:highlight w:val="yellow"/>
          <w:vertAlign w:val="subscript"/>
        </w:rPr>
        <w:t>i</w:t>
      </w:r>
      <w:proofErr w:type="spellEnd"/>
      <w:r w:rsidRPr="009D55F8">
        <w:rPr>
          <w:rFonts w:ascii="Arial" w:hAnsi="Arial" w:cs="Arial"/>
          <w:highlight w:val="yellow"/>
        </w:rPr>
        <w:t xml:space="preserve"> x </w:t>
      </w:r>
      <w:proofErr w:type="spellStart"/>
      <w:r w:rsidRPr="009D55F8">
        <w:rPr>
          <w:rFonts w:ascii="Arial" w:hAnsi="Arial" w:cs="Arial"/>
          <w:b/>
          <w:bCs/>
          <w:highlight w:val="yellow"/>
        </w:rPr>
        <w:t>P</w:t>
      </w:r>
      <w:r w:rsidRPr="009D55F8">
        <w:rPr>
          <w:rFonts w:ascii="Arial" w:hAnsi="Arial" w:cs="Arial"/>
          <w:b/>
          <w:bCs/>
          <w:highlight w:val="yellow"/>
          <w:vertAlign w:val="subscript"/>
        </w:rPr>
        <w:t>ni</w:t>
      </w:r>
      <w:proofErr w:type="spellEnd"/>
      <w:r w:rsidRPr="009D55F8">
        <w:rPr>
          <w:rFonts w:ascii="Arial" w:hAnsi="Arial" w:cs="Arial"/>
          <w:highlight w:val="yellow"/>
          <w:vertAlign w:val="subscript"/>
        </w:rPr>
        <w:t xml:space="preserve"> </w:t>
      </w:r>
      <w:r w:rsidRPr="009D55F8">
        <w:rPr>
          <w:rFonts w:ascii="Arial" w:hAnsi="Arial" w:cs="Arial"/>
          <w:highlight w:val="yellow"/>
        </w:rPr>
        <w:t xml:space="preserve">) / </w:t>
      </w:r>
      <w:r w:rsidRPr="009D55F8">
        <w:rPr>
          <w:rFonts w:ascii="Arial" w:eastAsia="CambriaMath" w:hAnsi="Arial" w:cs="Arial"/>
          <w:b/>
          <w:sz w:val="28"/>
          <w:highlight w:val="yellow"/>
        </w:rPr>
        <w:t>Σ</w:t>
      </w:r>
      <w:r w:rsidRPr="009D55F8">
        <w:rPr>
          <w:rFonts w:ascii="Arial" w:eastAsia="CambriaMath" w:hAnsi="Arial" w:cs="Arial"/>
          <w:b/>
          <w:sz w:val="28"/>
          <w:highlight w:val="yellow"/>
        </w:rPr>
        <w:t xml:space="preserve">P </w:t>
      </w:r>
      <w:proofErr w:type="spellStart"/>
      <w:r w:rsidRPr="009D55F8">
        <w:rPr>
          <w:rFonts w:ascii="Arial" w:eastAsia="CambriaMath" w:hAnsi="Arial" w:cs="Arial"/>
          <w:b/>
          <w:sz w:val="28"/>
          <w:highlight w:val="yellow"/>
          <w:vertAlign w:val="subscript"/>
        </w:rPr>
        <w:t>ni</w:t>
      </w:r>
      <w:proofErr w:type="spellEnd"/>
    </w:p>
    <w:bookmarkEnd w:id="0"/>
    <w:p w:rsidR="003060A8" w:rsidRPr="009D55F8" w:rsidRDefault="003060A8" w:rsidP="003060A8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highlight w:val="yellow"/>
        </w:rPr>
      </w:pPr>
      <w:r w:rsidRPr="009D55F8">
        <w:rPr>
          <w:rFonts w:ascii="Arial" w:hAnsi="Arial" w:cs="Arial"/>
          <w:highlight w:val="yellow"/>
        </w:rPr>
        <w:t>Where:</w:t>
      </w:r>
    </w:p>
    <w:p w:rsidR="003060A8" w:rsidRPr="009D55F8" w:rsidRDefault="003060A8" w:rsidP="003060A8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highlight w:val="yellow"/>
        </w:rPr>
      </w:pPr>
      <w:proofErr w:type="spellStart"/>
      <w:r w:rsidRPr="009D55F8">
        <w:rPr>
          <w:rFonts w:ascii="Arial" w:hAnsi="Arial" w:cs="Arial"/>
          <w:highlight w:val="yellow"/>
        </w:rPr>
        <w:t>PAF</w:t>
      </w:r>
      <w:r w:rsidRPr="009D55F8">
        <w:rPr>
          <w:rFonts w:ascii="Arial" w:hAnsi="Arial" w:cs="Arial"/>
          <w:highlight w:val="yellow"/>
          <w:vertAlign w:val="subscript"/>
        </w:rPr>
        <w:t>i</w:t>
      </w:r>
      <w:proofErr w:type="spellEnd"/>
      <w:r w:rsidRPr="009D55F8">
        <w:rPr>
          <w:rFonts w:ascii="Arial" w:hAnsi="Arial" w:cs="Arial"/>
          <w:highlight w:val="yellow"/>
          <w:vertAlign w:val="subscript"/>
        </w:rPr>
        <w:t xml:space="preserve"> </w:t>
      </w:r>
      <w:r w:rsidRPr="009D55F8">
        <w:rPr>
          <w:rFonts w:ascii="Arial" w:hAnsi="Arial" w:cs="Arial"/>
          <w:highlight w:val="yellow"/>
        </w:rPr>
        <w:t>= PAF of an individual plant</w:t>
      </w:r>
    </w:p>
    <w:p w:rsidR="003060A8" w:rsidRDefault="003060A8" w:rsidP="003060A8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  <w:proofErr w:type="spellStart"/>
      <w:proofErr w:type="gramStart"/>
      <w:r w:rsidRPr="009D55F8">
        <w:rPr>
          <w:rFonts w:ascii="Arial" w:hAnsi="Arial" w:cs="Arial"/>
          <w:highlight w:val="yellow"/>
        </w:rPr>
        <w:t>P</w:t>
      </w:r>
      <w:r w:rsidRPr="009D55F8">
        <w:rPr>
          <w:rFonts w:ascii="Arial" w:hAnsi="Arial" w:cs="Arial"/>
          <w:highlight w:val="yellow"/>
          <w:vertAlign w:val="subscript"/>
        </w:rPr>
        <w:t>ni</w:t>
      </w:r>
      <w:proofErr w:type="spellEnd"/>
      <w:r w:rsidRPr="009D55F8">
        <w:rPr>
          <w:rFonts w:ascii="Arial" w:hAnsi="Arial" w:cs="Arial"/>
          <w:highlight w:val="yellow"/>
          <w:vertAlign w:val="subscript"/>
        </w:rPr>
        <w:t xml:space="preserve"> </w:t>
      </w:r>
      <w:r w:rsidRPr="009D55F8">
        <w:rPr>
          <w:rFonts w:ascii="Arial" w:hAnsi="Arial" w:cs="Arial"/>
          <w:highlight w:val="yellow"/>
        </w:rPr>
        <w:t xml:space="preserve"> =</w:t>
      </w:r>
      <w:proofErr w:type="gramEnd"/>
      <w:r w:rsidRPr="009D55F8">
        <w:rPr>
          <w:rFonts w:ascii="Arial" w:hAnsi="Arial" w:cs="Arial"/>
          <w:highlight w:val="yellow"/>
        </w:rPr>
        <w:t xml:space="preserve"> Nominal power rating of an individual plant as per Annexure 9</w:t>
      </w:r>
    </w:p>
    <w:p w:rsidR="003060A8" w:rsidRPr="003060A8" w:rsidRDefault="003060A8" w:rsidP="003060A8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</w:t>
      </w:r>
    </w:p>
    <w:p w:rsidR="000658A8" w:rsidRPr="007D55E1" w:rsidRDefault="007D55E1" w:rsidP="007D55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7D55E1">
        <w:rPr>
          <w:rFonts w:ascii="Arial" w:hAnsi="Arial" w:cs="Arial"/>
        </w:rPr>
        <w:t>In case of outage of more than one equipment in the same path of power flow, outage of equipment with highest weightage factor shall be considered.</w:t>
      </w:r>
    </w:p>
    <w:p w:rsidR="007D55E1" w:rsidRDefault="007D55E1" w:rsidP="007D55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7D55E1">
        <w:rPr>
          <w:rFonts w:ascii="Arial" w:hAnsi="Arial" w:cs="Arial"/>
        </w:rPr>
        <w:t>Grid outage hours shall not be considered for calculation of availability. The contractor shall submit grid</w:t>
      </w:r>
      <w:r>
        <w:rPr>
          <w:rFonts w:ascii="Arial" w:hAnsi="Arial" w:cs="Arial"/>
        </w:rPr>
        <w:t xml:space="preserve"> </w:t>
      </w:r>
      <w:r w:rsidRPr="007D55E1">
        <w:rPr>
          <w:rFonts w:ascii="Arial" w:hAnsi="Arial" w:cs="Arial"/>
        </w:rPr>
        <w:t xml:space="preserve">outage certification from </w:t>
      </w:r>
      <w:r>
        <w:rPr>
          <w:rFonts w:ascii="Arial" w:hAnsi="Arial" w:cs="Arial"/>
        </w:rPr>
        <w:t>ED-A&amp;NA</w:t>
      </w:r>
      <w:r w:rsidRPr="007D55E1">
        <w:rPr>
          <w:rFonts w:ascii="Arial" w:hAnsi="Arial" w:cs="Arial"/>
        </w:rPr>
        <w:t>.</w:t>
      </w:r>
    </w:p>
    <w:p w:rsidR="00C954A6" w:rsidRDefault="00D7088F" w:rsidP="00D70E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954A6">
        <w:rPr>
          <w:rFonts w:ascii="Arial" w:hAnsi="Arial" w:cs="Arial"/>
        </w:rPr>
        <w:t xml:space="preserve">Any outages </w:t>
      </w:r>
      <w:r w:rsidR="00C954A6" w:rsidRPr="00C954A6">
        <w:rPr>
          <w:rFonts w:ascii="Arial" w:hAnsi="Arial" w:cs="Arial"/>
        </w:rPr>
        <w:t xml:space="preserve">which are </w:t>
      </w:r>
      <w:r w:rsidRPr="00C954A6">
        <w:rPr>
          <w:rFonts w:ascii="Arial" w:hAnsi="Arial" w:cs="Arial"/>
        </w:rPr>
        <w:t xml:space="preserve">not attributable to the O&amp;M contractor shall be considered nil. The O&amp;M contractor shall submit documentary evidence </w:t>
      </w:r>
      <w:r w:rsidR="00C954A6" w:rsidRPr="00C954A6">
        <w:rPr>
          <w:rFonts w:ascii="Arial" w:hAnsi="Arial" w:cs="Arial"/>
        </w:rPr>
        <w:t xml:space="preserve">after the occurrence of any fault </w:t>
      </w:r>
      <w:r w:rsidRPr="00C954A6">
        <w:rPr>
          <w:rFonts w:ascii="Arial" w:hAnsi="Arial" w:cs="Arial"/>
        </w:rPr>
        <w:t>such as reasons</w:t>
      </w:r>
      <w:r w:rsidR="00AC3F98">
        <w:rPr>
          <w:rFonts w:ascii="Arial" w:hAnsi="Arial" w:cs="Arial"/>
        </w:rPr>
        <w:t xml:space="preserve"> of fault</w:t>
      </w:r>
      <w:r w:rsidR="00C954A6" w:rsidRPr="00C954A6">
        <w:rPr>
          <w:rFonts w:ascii="Arial" w:hAnsi="Arial" w:cs="Arial"/>
        </w:rPr>
        <w:t xml:space="preserve">, </w:t>
      </w:r>
      <w:r w:rsidRPr="00C954A6">
        <w:rPr>
          <w:rFonts w:ascii="Arial" w:hAnsi="Arial" w:cs="Arial"/>
        </w:rPr>
        <w:t xml:space="preserve">error code </w:t>
      </w:r>
      <w:r w:rsidR="00C954A6" w:rsidRPr="00C954A6">
        <w:rPr>
          <w:rFonts w:ascii="Arial" w:hAnsi="Arial" w:cs="Arial"/>
        </w:rPr>
        <w:t xml:space="preserve">in case of inverter, root cause analysis, </w:t>
      </w:r>
      <w:r w:rsidRPr="00C954A6">
        <w:rPr>
          <w:rFonts w:ascii="Arial" w:hAnsi="Arial" w:cs="Arial"/>
        </w:rPr>
        <w:t>etc.</w:t>
      </w:r>
      <w:r w:rsidR="00C954A6" w:rsidRPr="00C954A6">
        <w:rPr>
          <w:rFonts w:ascii="Arial" w:hAnsi="Arial" w:cs="Arial"/>
        </w:rPr>
        <w:t xml:space="preserve"> </w:t>
      </w:r>
      <w:r w:rsidR="00C954A6">
        <w:rPr>
          <w:rFonts w:ascii="Arial" w:hAnsi="Arial" w:cs="Arial"/>
        </w:rPr>
        <w:t>SECI will examine the fault details</w:t>
      </w:r>
      <w:r w:rsidR="00AC3F98">
        <w:rPr>
          <w:rFonts w:ascii="Arial" w:hAnsi="Arial" w:cs="Arial"/>
        </w:rPr>
        <w:t xml:space="preserve"> to determine whether the faults are attributable to SECI, O&amp;M contractor, Grid or any other. </w:t>
      </w:r>
      <w:r w:rsidR="00C954A6" w:rsidRPr="00C954A6">
        <w:rPr>
          <w:rFonts w:ascii="Arial" w:hAnsi="Arial" w:cs="Arial"/>
        </w:rPr>
        <w:t xml:space="preserve">Contractor shall abide by </w:t>
      </w:r>
      <w:r w:rsidR="00C954A6">
        <w:rPr>
          <w:rFonts w:ascii="Arial" w:hAnsi="Arial" w:cs="Arial"/>
        </w:rPr>
        <w:t>SECI</w:t>
      </w:r>
      <w:r w:rsidR="00AC3F98">
        <w:rPr>
          <w:rFonts w:ascii="Arial" w:hAnsi="Arial" w:cs="Arial"/>
        </w:rPr>
        <w:t xml:space="preserve">’s </w:t>
      </w:r>
      <w:r w:rsidR="00C954A6" w:rsidRPr="00C954A6">
        <w:rPr>
          <w:rFonts w:ascii="Arial" w:hAnsi="Arial" w:cs="Arial"/>
        </w:rPr>
        <w:t>decision in this respect.</w:t>
      </w:r>
      <w:r w:rsidR="00C954A6">
        <w:rPr>
          <w:rFonts w:ascii="Arial" w:hAnsi="Arial" w:cs="Arial"/>
        </w:rPr>
        <w:t xml:space="preserve">  </w:t>
      </w:r>
    </w:p>
    <w:p w:rsidR="005863E3" w:rsidRPr="00C954A6" w:rsidRDefault="005863E3" w:rsidP="00D70E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954A6">
        <w:rPr>
          <w:rFonts w:ascii="Arial" w:hAnsi="Arial" w:cs="Arial"/>
        </w:rPr>
        <w:t xml:space="preserve">For calculation of PAF, the O&amp;M contractor shall submit the PAF checklist on monthly basis as per Annexure 9. </w:t>
      </w:r>
    </w:p>
    <w:p w:rsidR="00991189" w:rsidRDefault="00991189" w:rsidP="00991189">
      <w:pPr>
        <w:pStyle w:val="ListParagraph"/>
        <w:widowControl w:val="0"/>
        <w:suppressAutoHyphens/>
        <w:autoSpaceDE w:val="0"/>
        <w:autoSpaceDN w:val="0"/>
        <w:adjustRightInd w:val="0"/>
        <w:spacing w:before="120" w:after="120" w:line="360" w:lineRule="auto"/>
        <w:ind w:left="284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Annexure 8</w:t>
      </w:r>
    </w:p>
    <w:p w:rsidR="002862CE" w:rsidRPr="00CC1C2F" w:rsidRDefault="002862CE" w:rsidP="00991189">
      <w:pPr>
        <w:pStyle w:val="ListParagraph"/>
        <w:widowControl w:val="0"/>
        <w:suppressAutoHyphens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Routine &amp; Preventive </w:t>
      </w:r>
      <w:r w:rsidRPr="00CC1C2F">
        <w:rPr>
          <w:rFonts w:ascii="Arial" w:hAnsi="Arial" w:cs="Arial"/>
          <w:b/>
        </w:rPr>
        <w:t>Maintenance schedule</w:t>
      </w:r>
    </w:p>
    <w:p w:rsidR="002862CE" w:rsidRPr="00CC1C2F" w:rsidRDefault="002862CE" w:rsidP="002862CE">
      <w:pPr>
        <w:pStyle w:val="ListParagraph"/>
        <w:widowControl w:val="0"/>
        <w:suppressAutoHyphens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bCs/>
        </w:rPr>
      </w:pPr>
      <w:r w:rsidRPr="00CC1C2F">
        <w:rPr>
          <w:rFonts w:ascii="Arial" w:hAnsi="Arial" w:cs="Arial"/>
          <w:bCs/>
        </w:rPr>
        <w:t xml:space="preserve">The Contractor shall follow the following </w:t>
      </w:r>
      <w:r>
        <w:rPr>
          <w:rFonts w:ascii="Arial" w:hAnsi="Arial" w:cs="Arial"/>
          <w:bCs/>
        </w:rPr>
        <w:t xml:space="preserve">Routine &amp; </w:t>
      </w:r>
      <w:r w:rsidRPr="00CC1C2F">
        <w:rPr>
          <w:rFonts w:ascii="Arial" w:hAnsi="Arial" w:cs="Arial"/>
          <w:bCs/>
        </w:rPr>
        <w:t xml:space="preserve">preventive maintenance schedule as a minimum requirement. If required, additional maintenance activities other than the </w:t>
      </w:r>
      <w:r w:rsidR="00AC3F98">
        <w:rPr>
          <w:rFonts w:ascii="Arial" w:hAnsi="Arial" w:cs="Arial"/>
          <w:bCs/>
        </w:rPr>
        <w:t xml:space="preserve">following </w:t>
      </w:r>
      <w:r w:rsidRPr="00CC1C2F">
        <w:rPr>
          <w:rFonts w:ascii="Arial" w:hAnsi="Arial" w:cs="Arial"/>
          <w:bCs/>
        </w:rPr>
        <w:t>schedule will be proposed by the Contractor.</w:t>
      </w:r>
    </w:p>
    <w:tbl>
      <w:tblPr>
        <w:tblStyle w:val="TableGrid"/>
        <w:tblW w:w="925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53"/>
        <w:gridCol w:w="1517"/>
        <w:gridCol w:w="1366"/>
        <w:gridCol w:w="1366"/>
        <w:gridCol w:w="1214"/>
        <w:gridCol w:w="1214"/>
        <w:gridCol w:w="910"/>
        <w:gridCol w:w="912"/>
      </w:tblGrid>
      <w:tr w:rsidR="00991189" w:rsidRPr="00CC1C2F" w:rsidTr="00D50FC9">
        <w:trPr>
          <w:trHeight w:val="228"/>
        </w:trPr>
        <w:tc>
          <w:tcPr>
            <w:tcW w:w="753" w:type="dxa"/>
            <w:vMerge w:val="restart"/>
            <w:vAlign w:val="center"/>
          </w:tcPr>
          <w:p w:rsidR="002862CE" w:rsidRPr="00CC1C2F" w:rsidRDefault="002862CE" w:rsidP="00991189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proofErr w:type="spellStart"/>
            <w:r w:rsidRPr="00CC1C2F">
              <w:rPr>
                <w:rFonts w:ascii="Arial" w:hAnsi="Arial" w:cs="Arial"/>
                <w:bCs/>
              </w:rPr>
              <w:t>Sl</w:t>
            </w:r>
            <w:proofErr w:type="spellEnd"/>
            <w:r w:rsidRPr="00CC1C2F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517" w:type="dxa"/>
            <w:vMerge w:val="restart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Equipment</w:t>
            </w:r>
          </w:p>
        </w:tc>
        <w:tc>
          <w:tcPr>
            <w:tcW w:w="2732" w:type="dxa"/>
            <w:gridSpan w:val="2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Routine</w:t>
            </w:r>
          </w:p>
        </w:tc>
        <w:tc>
          <w:tcPr>
            <w:tcW w:w="4249" w:type="dxa"/>
            <w:gridSpan w:val="4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PM Frequency</w:t>
            </w:r>
          </w:p>
        </w:tc>
      </w:tr>
      <w:tr w:rsidR="00991189" w:rsidRPr="00CC1C2F" w:rsidTr="00D50FC9">
        <w:trPr>
          <w:trHeight w:val="501"/>
        </w:trPr>
        <w:tc>
          <w:tcPr>
            <w:tcW w:w="753" w:type="dxa"/>
            <w:vMerge/>
            <w:vAlign w:val="center"/>
          </w:tcPr>
          <w:p w:rsidR="002862CE" w:rsidRPr="00CC1C2F" w:rsidRDefault="002862CE" w:rsidP="00991189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Merge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2862CE" w:rsidRPr="00CC1C2F" w:rsidRDefault="00991189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Daily </w:t>
            </w:r>
          </w:p>
        </w:tc>
        <w:tc>
          <w:tcPr>
            <w:tcW w:w="1366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Fortnightly</w:t>
            </w:r>
          </w:p>
        </w:tc>
        <w:tc>
          <w:tcPr>
            <w:tcW w:w="1214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Monthly</w:t>
            </w:r>
          </w:p>
        </w:tc>
        <w:tc>
          <w:tcPr>
            <w:tcW w:w="1214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Quarterly</w:t>
            </w:r>
          </w:p>
        </w:tc>
        <w:tc>
          <w:tcPr>
            <w:tcW w:w="910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Half yearly</w:t>
            </w:r>
          </w:p>
        </w:tc>
        <w:tc>
          <w:tcPr>
            <w:tcW w:w="911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Yearly</w:t>
            </w:r>
          </w:p>
        </w:tc>
      </w:tr>
      <w:tr w:rsidR="00991189" w:rsidRPr="00CC1C2F" w:rsidTr="00D50FC9">
        <w:trPr>
          <w:trHeight w:val="770"/>
        </w:trPr>
        <w:tc>
          <w:tcPr>
            <w:tcW w:w="753" w:type="dxa"/>
            <w:vAlign w:val="center"/>
          </w:tcPr>
          <w:p w:rsidR="002862CE" w:rsidRPr="00CC1C2F" w:rsidRDefault="002862CE" w:rsidP="00991189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2862CE" w:rsidRPr="00CC1C2F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General inspection of the </w:t>
            </w:r>
            <w:r w:rsidR="002862CE">
              <w:rPr>
                <w:rFonts w:ascii="Arial" w:hAnsi="Arial" w:cs="Arial"/>
                <w:bCs/>
              </w:rPr>
              <w:t>Inverter</w:t>
            </w:r>
            <w:r w:rsidR="0099118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366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2862CE" w:rsidRPr="00CC1C2F" w:rsidRDefault="002862CE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A944E6" w:rsidRPr="00CC1C2F" w:rsidTr="00D50FC9">
        <w:trPr>
          <w:trHeight w:val="488"/>
        </w:trPr>
        <w:tc>
          <w:tcPr>
            <w:tcW w:w="753" w:type="dxa"/>
            <w:vAlign w:val="center"/>
          </w:tcPr>
          <w:p w:rsidR="00A944E6" w:rsidRPr="00CC1C2F" w:rsidRDefault="00A944E6" w:rsidP="00991189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A944E6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Inverter </w:t>
            </w:r>
          </w:p>
        </w:tc>
        <w:tc>
          <w:tcPr>
            <w:tcW w:w="1366" w:type="dxa"/>
            <w:vAlign w:val="center"/>
          </w:tcPr>
          <w:p w:rsidR="00A944E6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A944E6" w:rsidRPr="00CC1C2F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A944E6" w:rsidRPr="00CC1C2F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A944E6" w:rsidRPr="00CC1C2F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A944E6" w:rsidRPr="00CC1C2F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A944E6" w:rsidRPr="00CC1C2F" w:rsidRDefault="00A944E6" w:rsidP="005224D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1138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String Voltage (DC voltage)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1125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String Amp (DC current)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59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 Voltage Level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1125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SPV Module</w:t>
            </w:r>
            <w:r>
              <w:rPr>
                <w:rFonts w:ascii="Arial" w:hAnsi="Arial" w:cs="Arial"/>
                <w:bCs/>
              </w:rPr>
              <w:t xml:space="preserve"> Cleaning</w:t>
            </w:r>
            <w:r w:rsidR="00807E77">
              <w:rPr>
                <w:rFonts w:ascii="Arial" w:hAnsi="Arial" w:cs="Arial"/>
                <w:bCs/>
              </w:rPr>
              <w:t xml:space="preserve"> </w:t>
            </w:r>
            <w:r w:rsidR="00807E77" w:rsidRPr="00807E77">
              <w:rPr>
                <w:rFonts w:ascii="Arial" w:hAnsi="Arial" w:cs="Arial"/>
                <w:bCs/>
                <w:highlight w:val="yellow"/>
              </w:rPr>
              <w:t>(wet/dry)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88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Module visual inspection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A944E6" w:rsidRPr="00CC1C2F" w:rsidTr="00D50FC9">
        <w:trPr>
          <w:trHeight w:val="788"/>
        </w:trPr>
        <w:tc>
          <w:tcPr>
            <w:tcW w:w="753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A944E6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IR </w:t>
            </w:r>
            <w:proofErr w:type="spellStart"/>
            <w:r w:rsidRPr="00E20FDF">
              <w:rPr>
                <w:rFonts w:ascii="Arial" w:eastAsia="Calibri" w:hAnsi="Arial" w:cs="Arial"/>
                <w:bCs/>
                <w:snapToGrid w:val="0"/>
                <w:lang w:val="fr-FR" w:eastAsia="fr-FR"/>
              </w:rPr>
              <w:t>thermography</w:t>
            </w:r>
            <w:proofErr w:type="spellEnd"/>
          </w:p>
        </w:tc>
        <w:tc>
          <w:tcPr>
            <w:tcW w:w="1366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A944E6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11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88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MC4 connectors checking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45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Earth pit</w:t>
            </w:r>
            <w:r>
              <w:rPr>
                <w:rFonts w:ascii="Arial" w:hAnsi="Arial" w:cs="Arial"/>
                <w:bCs/>
              </w:rPr>
              <w:t xml:space="preserve"> checking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1138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 xml:space="preserve">Fire Fighting </w:t>
            </w:r>
            <w:r>
              <w:rPr>
                <w:rFonts w:ascii="Arial" w:hAnsi="Arial" w:cs="Arial"/>
                <w:bCs/>
              </w:rPr>
              <w:t>systems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45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ACDB Checking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59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Meter Reading 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366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488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LT Panel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501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CT/PT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X</w:t>
            </w:r>
          </w:p>
        </w:tc>
      </w:tr>
      <w:tr w:rsidR="00F55A8A" w:rsidRPr="00CC1C2F" w:rsidTr="00D50FC9">
        <w:trPr>
          <w:trHeight w:val="1125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DC / AC </w:t>
            </w:r>
            <w:r w:rsidRPr="00CC1C2F">
              <w:rPr>
                <w:rFonts w:ascii="Arial" w:hAnsi="Arial" w:cs="Arial"/>
                <w:bCs/>
              </w:rPr>
              <w:t>Transmission line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759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Display Boards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F55A8A" w:rsidRPr="00CC1C2F" w:rsidTr="00D50FC9">
        <w:trPr>
          <w:trHeight w:val="4162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Mechanical Maintenance of the plant</w:t>
            </w:r>
            <w:r>
              <w:rPr>
                <w:rFonts w:ascii="Arial" w:hAnsi="Arial" w:cs="Arial"/>
                <w:bCs/>
              </w:rPr>
              <w:t xml:space="preserve"> (structure, cable conduit,</w:t>
            </w:r>
            <w:r w:rsidR="00A944E6">
              <w:rPr>
                <w:rFonts w:ascii="Arial" w:hAnsi="Arial" w:cs="Arial"/>
                <w:bCs/>
              </w:rPr>
              <w:t xml:space="preserve"> cable entries, fasteners, </w:t>
            </w:r>
            <w:r>
              <w:rPr>
                <w:rFonts w:ascii="Arial" w:hAnsi="Arial" w:cs="Arial"/>
                <w:bCs/>
              </w:rPr>
              <w:t xml:space="preserve"> etc)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A944E6" w:rsidRPr="00CC1C2F" w:rsidTr="00D50FC9">
        <w:trPr>
          <w:trHeight w:val="745"/>
        </w:trPr>
        <w:tc>
          <w:tcPr>
            <w:tcW w:w="753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Trimming of trees</w:t>
            </w:r>
          </w:p>
        </w:tc>
        <w:tc>
          <w:tcPr>
            <w:tcW w:w="6982" w:type="dxa"/>
            <w:gridSpan w:val="6"/>
            <w:vAlign w:val="center"/>
          </w:tcPr>
          <w:p w:rsidR="00A944E6" w:rsidRPr="00CC1C2F" w:rsidRDefault="00A944E6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 per requirement</w:t>
            </w:r>
          </w:p>
        </w:tc>
      </w:tr>
      <w:tr w:rsidR="00F55A8A" w:rsidRPr="00CC1C2F" w:rsidTr="00D50FC9">
        <w:trPr>
          <w:trHeight w:val="759"/>
        </w:trPr>
        <w:tc>
          <w:tcPr>
            <w:tcW w:w="753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20" w:after="120" w:line="360" w:lineRule="auto"/>
              <w:ind w:hanging="684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outlineLvl w:val="0"/>
              <w:rPr>
                <w:rFonts w:ascii="Arial" w:hAnsi="Arial" w:cs="Arial"/>
                <w:bCs/>
              </w:rPr>
            </w:pPr>
            <w:r w:rsidRPr="00CC1C2F">
              <w:rPr>
                <w:rFonts w:ascii="Arial" w:hAnsi="Arial" w:cs="Arial"/>
                <w:bCs/>
              </w:rPr>
              <w:t>Lighting Arrestor</w:t>
            </w: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14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11" w:type="dxa"/>
            <w:vAlign w:val="center"/>
          </w:tcPr>
          <w:p w:rsidR="00F55A8A" w:rsidRPr="00CC1C2F" w:rsidRDefault="00F55A8A" w:rsidP="00F55A8A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ind w:left="0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</w:tbl>
    <w:p w:rsidR="00A944E6" w:rsidRDefault="001F06A2" w:rsidP="003D6D00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i/>
        </w:rPr>
      </w:pPr>
      <w:r w:rsidRPr="001F06A2">
        <w:rPr>
          <w:rFonts w:ascii="Arial" w:hAnsi="Arial" w:cs="Arial"/>
          <w:i/>
        </w:rPr>
        <w:t xml:space="preserve">Note: </w:t>
      </w:r>
      <w:r w:rsidR="00A944E6" w:rsidRPr="001F06A2">
        <w:rPr>
          <w:rFonts w:ascii="Arial" w:hAnsi="Arial" w:cs="Arial"/>
          <w:i/>
        </w:rPr>
        <w:t xml:space="preserve">The above </w:t>
      </w:r>
      <w:r>
        <w:rPr>
          <w:rFonts w:ascii="Arial" w:hAnsi="Arial" w:cs="Arial"/>
          <w:i/>
        </w:rPr>
        <w:t>check</w:t>
      </w:r>
      <w:r w:rsidR="00A944E6" w:rsidRPr="001F06A2">
        <w:rPr>
          <w:rFonts w:ascii="Arial" w:hAnsi="Arial" w:cs="Arial"/>
          <w:i/>
        </w:rPr>
        <w:t xml:space="preserve">list is indicative only and SECI may suggest modification during execution of O&amp;M of the plant.  </w:t>
      </w:r>
    </w:p>
    <w:p w:rsidR="003D6D00" w:rsidRPr="009D55F8" w:rsidRDefault="002D1482" w:rsidP="007B6BBC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i/>
        </w:rPr>
      </w:pPr>
      <w:r w:rsidRPr="00807E77">
        <w:rPr>
          <w:rFonts w:ascii="Arial" w:hAnsi="Arial" w:cs="Arial"/>
          <w:highlight w:val="yellow"/>
        </w:rPr>
        <w:t xml:space="preserve">O&amp;M contractor shall submit </w:t>
      </w:r>
      <w:r w:rsidR="00807E77" w:rsidRPr="00807E77">
        <w:rPr>
          <w:rFonts w:ascii="Arial" w:hAnsi="Arial" w:cs="Arial"/>
          <w:highlight w:val="yellow"/>
        </w:rPr>
        <w:t xml:space="preserve">the quarterly invoice only if the </w:t>
      </w:r>
      <w:r w:rsidRPr="00807E77">
        <w:rPr>
          <w:rFonts w:ascii="Arial" w:hAnsi="Arial" w:cs="Arial"/>
          <w:highlight w:val="yellow"/>
        </w:rPr>
        <w:t>compliance of above checklist</w:t>
      </w:r>
      <w:r w:rsidR="00807E77" w:rsidRPr="00807E77">
        <w:rPr>
          <w:rFonts w:ascii="Arial" w:hAnsi="Arial" w:cs="Arial"/>
          <w:highlight w:val="yellow"/>
        </w:rPr>
        <w:t xml:space="preserve"> has been completed and certified by SECI’s authorised representative.</w:t>
      </w:r>
      <w:r w:rsidR="00807E77">
        <w:rPr>
          <w:rFonts w:ascii="Arial" w:hAnsi="Arial" w:cs="Arial"/>
        </w:rPr>
        <w:t xml:space="preserve"> </w:t>
      </w:r>
    </w:p>
    <w:sectPr w:rsidR="003D6D00" w:rsidRPr="009D55F8" w:rsidSect="003D6D00">
      <w:headerReference w:type="default" r:id="rId7"/>
      <w:pgSz w:w="11906" w:h="16838"/>
      <w:pgMar w:top="1440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15" w:rsidRDefault="00883F15" w:rsidP="000658A8">
      <w:pPr>
        <w:spacing w:after="0" w:line="240" w:lineRule="auto"/>
      </w:pPr>
      <w:r>
        <w:separator/>
      </w:r>
    </w:p>
  </w:endnote>
  <w:endnote w:type="continuationSeparator" w:id="0">
    <w:p w:rsidR="00883F15" w:rsidRDefault="00883F15" w:rsidP="000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15" w:rsidRDefault="00883F15" w:rsidP="000658A8">
      <w:pPr>
        <w:spacing w:after="0" w:line="240" w:lineRule="auto"/>
      </w:pPr>
      <w:r>
        <w:separator/>
      </w:r>
    </w:p>
  </w:footnote>
  <w:footnote w:type="continuationSeparator" w:id="0">
    <w:p w:rsidR="00883F15" w:rsidRDefault="00883F15" w:rsidP="000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8A8" w:rsidRPr="000658A8" w:rsidRDefault="000658A8">
    <w:pPr>
      <w:pStyle w:val="Header"/>
      <w:rPr>
        <w:rFonts w:ascii="Arial" w:hAnsi="Arial" w:cs="Arial"/>
        <w:b/>
      </w:rPr>
    </w:pPr>
    <w:r w:rsidRPr="000658A8">
      <w:rPr>
        <w:rFonts w:ascii="Arial" w:hAnsi="Arial" w:cs="Arial"/>
        <w:b/>
      </w:rPr>
      <w:t>Amendment 01- Tender No : SECI/C&amp;P/OP/14/003/2022-23 dated 22/09/2022</w:t>
    </w:r>
  </w:p>
  <w:p w:rsidR="000658A8" w:rsidRDefault="0006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B16"/>
    <w:multiLevelType w:val="hybridMultilevel"/>
    <w:tmpl w:val="357887E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A3324"/>
    <w:multiLevelType w:val="hybridMultilevel"/>
    <w:tmpl w:val="6AD03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9AE"/>
    <w:multiLevelType w:val="hybridMultilevel"/>
    <w:tmpl w:val="F0F4620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E6387"/>
    <w:multiLevelType w:val="hybridMultilevel"/>
    <w:tmpl w:val="E17AC6F4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67805"/>
    <w:multiLevelType w:val="hybridMultilevel"/>
    <w:tmpl w:val="2BF0EF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7E"/>
    <w:multiLevelType w:val="hybridMultilevel"/>
    <w:tmpl w:val="EB7227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A49EF"/>
    <w:multiLevelType w:val="hybridMultilevel"/>
    <w:tmpl w:val="2BF0EF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8"/>
    <w:rsid w:val="00013238"/>
    <w:rsid w:val="000658A8"/>
    <w:rsid w:val="00105A6D"/>
    <w:rsid w:val="00117C8D"/>
    <w:rsid w:val="00133310"/>
    <w:rsid w:val="001861A0"/>
    <w:rsid w:val="001F0004"/>
    <w:rsid w:val="001F06A2"/>
    <w:rsid w:val="002224AE"/>
    <w:rsid w:val="002862CE"/>
    <w:rsid w:val="002C2288"/>
    <w:rsid w:val="002D047D"/>
    <w:rsid w:val="002D0806"/>
    <w:rsid w:val="002D1482"/>
    <w:rsid w:val="003060A8"/>
    <w:rsid w:val="003D6D00"/>
    <w:rsid w:val="00414B5F"/>
    <w:rsid w:val="0044555C"/>
    <w:rsid w:val="004B5208"/>
    <w:rsid w:val="004F2DB9"/>
    <w:rsid w:val="005560A9"/>
    <w:rsid w:val="0056204E"/>
    <w:rsid w:val="005863E3"/>
    <w:rsid w:val="005B398A"/>
    <w:rsid w:val="005C0279"/>
    <w:rsid w:val="005F4B38"/>
    <w:rsid w:val="00693447"/>
    <w:rsid w:val="006B2CC2"/>
    <w:rsid w:val="006B640A"/>
    <w:rsid w:val="006F0D67"/>
    <w:rsid w:val="007B6BBC"/>
    <w:rsid w:val="007D55E1"/>
    <w:rsid w:val="007F5E74"/>
    <w:rsid w:val="00807E77"/>
    <w:rsid w:val="00850BE1"/>
    <w:rsid w:val="00883F15"/>
    <w:rsid w:val="008B7527"/>
    <w:rsid w:val="008E2E18"/>
    <w:rsid w:val="009134E7"/>
    <w:rsid w:val="0098536F"/>
    <w:rsid w:val="00991189"/>
    <w:rsid w:val="009B1442"/>
    <w:rsid w:val="009D55F8"/>
    <w:rsid w:val="00A3329F"/>
    <w:rsid w:val="00A944E6"/>
    <w:rsid w:val="00AA0A12"/>
    <w:rsid w:val="00AA7A17"/>
    <w:rsid w:val="00AC3F98"/>
    <w:rsid w:val="00BA73DA"/>
    <w:rsid w:val="00C954A6"/>
    <w:rsid w:val="00D00270"/>
    <w:rsid w:val="00D50FC9"/>
    <w:rsid w:val="00D7088F"/>
    <w:rsid w:val="00DA444D"/>
    <w:rsid w:val="00E0694D"/>
    <w:rsid w:val="00E833D2"/>
    <w:rsid w:val="00EF624E"/>
    <w:rsid w:val="00F55A8A"/>
    <w:rsid w:val="00F73633"/>
    <w:rsid w:val="00F8181C"/>
    <w:rsid w:val="00F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3669"/>
  <w15:chartTrackingRefBased/>
  <w15:docId w15:val="{EFB3B4F8-D213-4C7D-88AA-5B90E66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A8"/>
  </w:style>
  <w:style w:type="paragraph" w:styleId="Footer">
    <w:name w:val="footer"/>
    <w:basedOn w:val="Normal"/>
    <w:link w:val="FooterChar"/>
    <w:uiPriority w:val="99"/>
    <w:unhideWhenUsed/>
    <w:rsid w:val="0006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A8"/>
  </w:style>
  <w:style w:type="paragraph" w:styleId="ListParagraph">
    <w:name w:val="List Paragraph"/>
    <w:aliases w:val="Report Para,List Paragraph11,Bullet for Sub Section,List Paragraph (numbered (a)),References,List_Paragraph,Multilevel para_II,List Paragraph1,Citation List,Graphic,Resume Title,MC Paragraphe Liste,Source"/>
    <w:basedOn w:val="Normal"/>
    <w:link w:val="ListParagraphChar"/>
    <w:uiPriority w:val="34"/>
    <w:qFormat/>
    <w:rsid w:val="000658A8"/>
    <w:pPr>
      <w:ind w:left="720"/>
      <w:contextualSpacing/>
    </w:pPr>
  </w:style>
  <w:style w:type="table" w:styleId="TableGrid">
    <w:name w:val="Table Grid"/>
    <w:basedOn w:val="TableNormal"/>
    <w:uiPriority w:val="39"/>
    <w:rsid w:val="0006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5E1"/>
    <w:rPr>
      <w:color w:val="808080"/>
    </w:rPr>
  </w:style>
  <w:style w:type="character" w:customStyle="1" w:styleId="ListParagraphChar">
    <w:name w:val="List Paragraph Char"/>
    <w:aliases w:val="Report Para Char,List Paragraph11 Char,Bullet for Sub Section Char,List Paragraph (numbered (a)) Char,References Char,List_Paragraph Char,Multilevel para_II Char,List Paragraph1 Char,Citation List Char,Graphic Char,Resume Title Char"/>
    <w:link w:val="ListParagraph"/>
    <w:uiPriority w:val="34"/>
    <w:rsid w:val="002862CE"/>
  </w:style>
  <w:style w:type="paragraph" w:styleId="BalloonText">
    <w:name w:val="Balloon Text"/>
    <w:basedOn w:val="Normal"/>
    <w:link w:val="BalloonTextChar"/>
    <w:uiPriority w:val="99"/>
    <w:semiHidden/>
    <w:unhideWhenUsed/>
    <w:rsid w:val="001F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KAUSTUV ROY (G.M)</cp:lastModifiedBy>
  <cp:revision>2</cp:revision>
  <cp:lastPrinted>2022-11-14T11:10:00Z</cp:lastPrinted>
  <dcterms:created xsi:type="dcterms:W3CDTF">2022-11-18T14:16:00Z</dcterms:created>
  <dcterms:modified xsi:type="dcterms:W3CDTF">2022-11-18T14:16:00Z</dcterms:modified>
</cp:coreProperties>
</file>