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930CD" w14:textId="616A600C" w:rsidR="00E31FCD" w:rsidRDefault="00426DD5" w:rsidP="00966ECA">
      <w:pPr>
        <w:pStyle w:val="Heading1"/>
        <w:ind w:left="90" w:right="10"/>
        <w:jc w:val="center"/>
      </w:pPr>
      <w:r>
        <w:rPr>
          <w:color w:val="2E5395"/>
        </w:rPr>
        <w:t>Solar</w:t>
      </w:r>
      <w:r>
        <w:rPr>
          <w:color w:val="2E5395"/>
          <w:spacing w:val="-2"/>
        </w:rPr>
        <w:t xml:space="preserve"> </w:t>
      </w:r>
      <w:r>
        <w:rPr>
          <w:color w:val="2E5395"/>
        </w:rPr>
        <w:t>Energy</w:t>
      </w:r>
      <w:r>
        <w:rPr>
          <w:color w:val="2E5395"/>
          <w:spacing w:val="-2"/>
        </w:rPr>
        <w:t xml:space="preserve"> </w:t>
      </w:r>
      <w:r>
        <w:rPr>
          <w:color w:val="2E5395"/>
        </w:rPr>
        <w:t>Corporation</w:t>
      </w:r>
      <w:r>
        <w:rPr>
          <w:color w:val="2E5395"/>
          <w:spacing w:val="-2"/>
        </w:rPr>
        <w:t xml:space="preserve"> </w:t>
      </w:r>
      <w:r>
        <w:rPr>
          <w:color w:val="2E5395"/>
        </w:rPr>
        <w:t>of</w:t>
      </w:r>
      <w:r>
        <w:rPr>
          <w:color w:val="2E5395"/>
          <w:spacing w:val="-5"/>
        </w:rPr>
        <w:t xml:space="preserve"> </w:t>
      </w:r>
      <w:r>
        <w:rPr>
          <w:color w:val="2E5395"/>
        </w:rPr>
        <w:t>India</w:t>
      </w:r>
      <w:r>
        <w:rPr>
          <w:color w:val="2E5395"/>
          <w:spacing w:val="1"/>
        </w:rPr>
        <w:t xml:space="preserve"> </w:t>
      </w:r>
      <w:r>
        <w:rPr>
          <w:color w:val="2E5395"/>
        </w:rPr>
        <w:t>Limited</w:t>
      </w:r>
      <w:r w:rsidR="00966ECA">
        <w:rPr>
          <w:color w:val="2E5395"/>
        </w:rPr>
        <w:t xml:space="preserve"> (SECI)</w:t>
      </w:r>
    </w:p>
    <w:p w14:paraId="567211BF" w14:textId="77777777" w:rsidR="00E31FCD" w:rsidRDefault="002F7DF4">
      <w:pPr>
        <w:pStyle w:val="BodyText"/>
        <w:spacing w:before="8"/>
        <w:rPr>
          <w:b/>
          <w:sz w:val="12"/>
        </w:rPr>
      </w:pPr>
      <w:r>
        <w:rPr>
          <w:noProof/>
          <w:lang w:val="en-IN" w:eastAsia="en-IN"/>
        </w:rPr>
        <mc:AlternateContent>
          <mc:Choice Requires="wps">
            <w:drawing>
              <wp:anchor distT="0" distB="0" distL="0" distR="0" simplePos="0" relativeHeight="487587840" behindDoc="1" locked="0" layoutInCell="1" allowOverlap="1" wp14:anchorId="59DFDDD2" wp14:editId="7C4DA71D">
                <wp:simplePos x="0" y="0"/>
                <wp:positionH relativeFrom="page">
                  <wp:posOffset>896620</wp:posOffset>
                </wp:positionH>
                <wp:positionV relativeFrom="paragraph">
                  <wp:posOffset>117475</wp:posOffset>
                </wp:positionV>
                <wp:extent cx="5981065" cy="6350"/>
                <wp:effectExtent l="0" t="0" r="0" b="0"/>
                <wp:wrapTopAndBottom/>
                <wp:docPr id="14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4F8B6" id="Rectangle 141" o:spid="_x0000_s1026" style="position:absolute;margin-left:70.6pt;margin-top:9.25pt;width:470.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7egIAAP0EAAAOAAAAZHJzL2Uyb0RvYy54bWysVNuO0zAQfUfiHyy/t0m6SdtEm672QhFS&#10;gRULH+DaTmPh2MZ2mxbEvzN2tqWFlxWiD64nMx6fOXPG1zf7TqIdt05oVeNsnGLEFdVMqE2Nv3xe&#10;juYYOU8UI1IrXuMDd/hm8frVdW8qPtGtloxbBEmUq3pT49Z7UyWJoy3viBtrwxU4G2074sG0m4RZ&#10;0kP2TiaTNJ0mvbbMWE25c/D1YXDiRczfNJz6j03juEeyxoDNx9XGdR3WZHFNqo0lphX0GQb5BxQd&#10;EQouPaV6IJ6grRV/peoEtdrpxo+p7hLdNILyWANUk6V/VPPUEsNjLUCOMyea3P9LSz/sHi0SDHqX&#10;X2GkSAdN+gS0EbWRHGV5Fijqjasg8sk82lCkMytNvzqk9H0LcfzWWt23nDAAFuOTiwPBcHAUrfv3&#10;mkF+svU6srVvbBcSAg9oH5tyODWF7z2i8LEo51k6LTCi4JteFbFnCamOZ411/i3XHQqbGlvAHnOT&#10;3cp5wA6hx5CIXUvBlkLKaNjN+l5atCNBHvEXyoUj7jxMqhCsdDg2uIcvABHuCL4ANrb7R5lN8vRu&#10;Uo6W0/lslC/zYlTO0vkozcq7cprmZf6w/BkAZnnVCsa4WgnFj9LL8pe19nkIBtFE8aG+xmUxKWLt&#10;F+jdy4rshIdJlKKr8fzEBKlCW98oBmWTyhMhh31yCT9SBhwc/yMrUQSh74N+1podQANWQ5NgEuHN&#10;gE2r7XeMepi/GrtvW2I5RvKdAh2VWZ6HgY1GXswmYNhzz/rcQxSFVDX2GA3bez8M+dZYsWnhpiwS&#10;o/QtaK8RURhBlwMqwB0MmLFYwfN7EIb43I5Rv1+txS8AAAD//wMAUEsDBBQABgAIAAAAIQC4uFKG&#10;3wAAAAoBAAAPAAAAZHJzL2Rvd25yZXYueG1sTI/BTsMwEETvSPyDtUjcqJPQoDSNU1Ekjki0cKA3&#10;J9kmUeN1sN028PVsT+U2o32anSlWkxnECZ3vLSmIZxEIpNo2PbUKPj9eHzIQPmhq9GAJFfygh1V5&#10;e1PovLFn2uBpG1rBIeRzraALYcyl9HWHRvuZHZH4trfO6MDWtbJx+szhZpBJFD1Jo3viD50e8aXD&#10;+rA9GgXrRbb+fp/T2++m2uHuqzqkiYuUur+bnpcgAk7hCsOlPleHkjtV9kiNFwP7eZwwyiJLQVyA&#10;KHuMQVSsFinIspD/J5R/AAAA//8DAFBLAQItABQABgAIAAAAIQC2gziS/gAAAOEBAAATAAAAAAAA&#10;AAAAAAAAAAAAAABbQ29udGVudF9UeXBlc10ueG1sUEsBAi0AFAAGAAgAAAAhADj9If/WAAAAlAEA&#10;AAsAAAAAAAAAAAAAAAAALwEAAF9yZWxzLy5yZWxzUEsBAi0AFAAGAAgAAAAhAIkAk3t6AgAA/QQA&#10;AA4AAAAAAAAAAAAAAAAALgIAAGRycy9lMm9Eb2MueG1sUEsBAi0AFAAGAAgAAAAhALi4UobfAAAA&#10;CgEAAA8AAAAAAAAAAAAAAAAA1AQAAGRycy9kb3ducmV2LnhtbFBLBQYAAAAABAAEAPMAAADgBQAA&#10;AAA=&#10;" fillcolor="black" stroked="f">
                <w10:wrap type="topAndBottom" anchorx="page"/>
              </v:rect>
            </w:pict>
          </mc:Fallback>
        </mc:AlternateContent>
      </w:r>
    </w:p>
    <w:p w14:paraId="711FAE2A" w14:textId="77777777" w:rsidR="00E31FCD" w:rsidRDefault="00E31FCD">
      <w:pPr>
        <w:pStyle w:val="BodyText"/>
        <w:rPr>
          <w:b/>
          <w:sz w:val="20"/>
        </w:rPr>
      </w:pPr>
    </w:p>
    <w:p w14:paraId="67698308" w14:textId="4C894EB3" w:rsidR="00E31FCD" w:rsidRPr="00E71AD1" w:rsidRDefault="00426DD5" w:rsidP="00E71AD1">
      <w:pPr>
        <w:pStyle w:val="ListParagraph"/>
        <w:numPr>
          <w:ilvl w:val="0"/>
          <w:numId w:val="3"/>
        </w:numPr>
        <w:spacing w:before="221"/>
        <w:rPr>
          <w:b/>
          <w:sz w:val="28"/>
        </w:rPr>
      </w:pPr>
      <w:r w:rsidRPr="00E71AD1">
        <w:rPr>
          <w:b/>
          <w:sz w:val="28"/>
        </w:rPr>
        <w:t>BACKGROUND</w:t>
      </w:r>
    </w:p>
    <w:p w14:paraId="1B88E3D4" w14:textId="77777777" w:rsidR="00D55E26" w:rsidRPr="00D55E26" w:rsidRDefault="00D55E26" w:rsidP="00D55E26">
      <w:pPr>
        <w:pStyle w:val="BodyText"/>
        <w:spacing w:before="153" w:line="360" w:lineRule="auto"/>
        <w:ind w:left="140" w:right="137"/>
        <w:jc w:val="both"/>
        <w:rPr>
          <w:spacing w:val="-1"/>
        </w:rPr>
      </w:pPr>
      <w:r w:rsidRPr="00D55E26">
        <w:rPr>
          <w:spacing w:val="-1"/>
        </w:rPr>
        <w:t>India, as one of the signatories to the 2015 Paris Agreement, has made a commitment to reduce emission intensity of the economy and to increase generation capacity from clean energy sources.</w:t>
      </w:r>
    </w:p>
    <w:p w14:paraId="1F53A482" w14:textId="77777777" w:rsidR="00D55E26" w:rsidRDefault="00D55E26" w:rsidP="00D55E26">
      <w:pPr>
        <w:pStyle w:val="BodyText"/>
        <w:spacing w:before="153" w:line="360" w:lineRule="auto"/>
        <w:ind w:left="140" w:right="137"/>
        <w:jc w:val="both"/>
        <w:rPr>
          <w:spacing w:val="-1"/>
        </w:rPr>
      </w:pPr>
      <w:r w:rsidRPr="00D55E26">
        <w:rPr>
          <w:spacing w:val="-1"/>
        </w:rPr>
        <w:t xml:space="preserve">Towards this objective, the Ministry of New and Renewable Energy (MNRE) is spearheading one of the world’s largest renewable Energy (RE) </w:t>
      </w:r>
      <w:proofErr w:type="spellStart"/>
      <w:r w:rsidRPr="00D55E26">
        <w:rPr>
          <w:spacing w:val="-1"/>
        </w:rPr>
        <w:t>programmes</w:t>
      </w:r>
      <w:proofErr w:type="spellEnd"/>
      <w:r w:rsidRPr="00D55E26">
        <w:rPr>
          <w:spacing w:val="-1"/>
        </w:rPr>
        <w:t>, targeting 500 GW of installed electricity capacity from non-fossil sources by 2030 and net zero by 2070.</w:t>
      </w:r>
    </w:p>
    <w:p w14:paraId="49E5872A" w14:textId="66DAD13D" w:rsidR="00E31FCD" w:rsidRPr="00822C42" w:rsidRDefault="00426DD5" w:rsidP="00D55E26">
      <w:pPr>
        <w:pStyle w:val="BodyText"/>
        <w:spacing w:before="153" w:line="360" w:lineRule="auto"/>
        <w:ind w:left="140" w:right="137"/>
        <w:jc w:val="both"/>
        <w:rPr>
          <w:spacing w:val="-1"/>
        </w:rPr>
      </w:pPr>
      <w:bookmarkStart w:id="0" w:name="_GoBack"/>
      <w:bookmarkEnd w:id="0"/>
      <w:r w:rsidRPr="00822C42">
        <w:rPr>
          <w:spacing w:val="-1"/>
        </w:rPr>
        <w:t>Solar Energy Corporation of India Limited (SECI) was set up in 2011 to facilitate the implementation of National Solar Mission (NSM) and to achieve the targets set forth by it. SECI was initially incorporated as a section 25 company (Not-for-profit) under the Companies</w:t>
      </w:r>
      <w:r w:rsidR="00CC352B">
        <w:rPr>
          <w:spacing w:val="-1"/>
        </w:rPr>
        <w:t xml:space="preserve"> </w:t>
      </w:r>
      <w:r w:rsidRPr="00822C42">
        <w:rPr>
          <w:spacing w:val="-1"/>
        </w:rPr>
        <w:t xml:space="preserve">Act, 1956. In the year 2015, it was converted into a Section-3 company. SECI is a Schedule- </w:t>
      </w:r>
      <w:proofErr w:type="gramStart"/>
      <w:r w:rsidRPr="00822C42">
        <w:rPr>
          <w:spacing w:val="-1"/>
        </w:rPr>
        <w:t>A</w:t>
      </w:r>
      <w:proofErr w:type="gramEnd"/>
      <w:r w:rsidRPr="00822C42">
        <w:rPr>
          <w:spacing w:val="-1"/>
        </w:rPr>
        <w:t xml:space="preserve"> Central Public Sector Undertaking (CPSU</w:t>
      </w:r>
      <w:r w:rsidR="00E71AD1">
        <w:rPr>
          <w:spacing w:val="-1"/>
        </w:rPr>
        <w:t xml:space="preserve">) </w:t>
      </w:r>
      <w:r w:rsidR="009F0ACD">
        <w:rPr>
          <w:spacing w:val="-1"/>
        </w:rPr>
        <w:t>and was</w:t>
      </w:r>
      <w:r w:rsidR="00E71AD1">
        <w:rPr>
          <w:spacing w:val="-1"/>
        </w:rPr>
        <w:t xml:space="preserve"> accorded </w:t>
      </w:r>
      <w:proofErr w:type="spellStart"/>
      <w:r w:rsidR="00E71AD1">
        <w:rPr>
          <w:spacing w:val="-1"/>
        </w:rPr>
        <w:t>Miniratna</w:t>
      </w:r>
      <w:proofErr w:type="spellEnd"/>
      <w:r w:rsidR="00E71AD1">
        <w:rPr>
          <w:spacing w:val="-1"/>
        </w:rPr>
        <w:t xml:space="preserve"> Category I status in April 2023. </w:t>
      </w:r>
    </w:p>
    <w:p w14:paraId="057F24C9" w14:textId="77777777" w:rsidR="00E31FCD" w:rsidRPr="00E71AD1" w:rsidRDefault="00426DD5" w:rsidP="00E71AD1">
      <w:pPr>
        <w:pStyle w:val="ListParagraph"/>
        <w:numPr>
          <w:ilvl w:val="0"/>
          <w:numId w:val="3"/>
        </w:numPr>
        <w:spacing w:before="221"/>
        <w:rPr>
          <w:b/>
          <w:sz w:val="28"/>
        </w:rPr>
      </w:pPr>
      <w:r w:rsidRPr="00E71AD1">
        <w:rPr>
          <w:b/>
          <w:sz w:val="28"/>
        </w:rPr>
        <w:t>BUSINESS AREAS</w:t>
      </w:r>
    </w:p>
    <w:p w14:paraId="79B2F447" w14:textId="77777777" w:rsidR="00E31FCD" w:rsidRDefault="00426DD5">
      <w:pPr>
        <w:pStyle w:val="ListParagraph"/>
        <w:numPr>
          <w:ilvl w:val="0"/>
          <w:numId w:val="2"/>
        </w:numPr>
        <w:tabs>
          <w:tab w:val="left" w:pos="861"/>
        </w:tabs>
        <w:spacing w:before="163"/>
        <w:ind w:hanging="361"/>
        <w:rPr>
          <w:b/>
          <w:sz w:val="28"/>
        </w:rPr>
      </w:pPr>
      <w:r>
        <w:rPr>
          <w:b/>
          <w:sz w:val="28"/>
        </w:rPr>
        <w:t>Implementation</w:t>
      </w:r>
      <w:r>
        <w:rPr>
          <w:b/>
          <w:spacing w:val="-2"/>
          <w:sz w:val="28"/>
        </w:rPr>
        <w:t xml:space="preserve"> </w:t>
      </w:r>
      <w:r>
        <w:rPr>
          <w:b/>
          <w:sz w:val="28"/>
        </w:rPr>
        <w:t>of</w:t>
      </w:r>
      <w:r>
        <w:rPr>
          <w:b/>
          <w:spacing w:val="-5"/>
          <w:sz w:val="28"/>
        </w:rPr>
        <w:t xml:space="preserve"> </w:t>
      </w:r>
      <w:r>
        <w:rPr>
          <w:b/>
          <w:sz w:val="28"/>
        </w:rPr>
        <w:t>Govt.</w:t>
      </w:r>
      <w:r>
        <w:rPr>
          <w:b/>
          <w:spacing w:val="-2"/>
          <w:sz w:val="28"/>
        </w:rPr>
        <w:t xml:space="preserve"> </w:t>
      </w:r>
      <w:r>
        <w:rPr>
          <w:b/>
          <w:sz w:val="28"/>
        </w:rPr>
        <w:t>Schemes/tenders</w:t>
      </w:r>
    </w:p>
    <w:p w14:paraId="61525003" w14:textId="77777777" w:rsidR="00E31FCD" w:rsidRDefault="00E31FCD">
      <w:pPr>
        <w:pStyle w:val="BodyText"/>
        <w:spacing w:before="9"/>
        <w:rPr>
          <w:b/>
          <w:sz w:val="23"/>
        </w:rPr>
      </w:pPr>
    </w:p>
    <w:p w14:paraId="1C0D8B64" w14:textId="5C807E50" w:rsidR="00E71AD1" w:rsidRPr="00E71AD1" w:rsidRDefault="00E71AD1" w:rsidP="00917045">
      <w:pPr>
        <w:pStyle w:val="ListParagraph"/>
        <w:spacing w:before="0" w:line="360" w:lineRule="auto"/>
        <w:ind w:left="140" w:right="18" w:firstLine="0"/>
        <w:rPr>
          <w:sz w:val="28"/>
          <w:szCs w:val="28"/>
        </w:rPr>
      </w:pPr>
      <w:r w:rsidRPr="00E71AD1">
        <w:rPr>
          <w:sz w:val="28"/>
          <w:szCs w:val="28"/>
        </w:rPr>
        <w:t>SECI is an implementing agency of MNRE for issuing tenders for development of solar projects, wind power and hybrid projects on pan-India basis on the basis of Standard bidding guidelines issued by th</w:t>
      </w:r>
      <w:r w:rsidR="0074133A">
        <w:rPr>
          <w:sz w:val="28"/>
          <w:szCs w:val="28"/>
        </w:rPr>
        <w:t>e Government. Presently, over 68</w:t>
      </w:r>
      <w:r w:rsidRPr="00E71AD1">
        <w:rPr>
          <w:sz w:val="28"/>
          <w:szCs w:val="28"/>
        </w:rPr>
        <w:t xml:space="preserve"> GW of</w:t>
      </w:r>
      <w:r>
        <w:rPr>
          <w:sz w:val="28"/>
          <w:szCs w:val="28"/>
        </w:rPr>
        <w:t xml:space="preserve"> </w:t>
      </w:r>
      <w:r w:rsidRPr="00E71AD1">
        <w:rPr>
          <w:sz w:val="28"/>
          <w:szCs w:val="28"/>
        </w:rPr>
        <w:t xml:space="preserve">Project capacity has been awarded to various developers through competitive bidding process. Out of this, more than </w:t>
      </w:r>
      <w:r w:rsidR="0074133A">
        <w:rPr>
          <w:sz w:val="28"/>
          <w:szCs w:val="28"/>
        </w:rPr>
        <w:t>21</w:t>
      </w:r>
      <w:r w:rsidRPr="00E71AD1">
        <w:rPr>
          <w:sz w:val="28"/>
          <w:szCs w:val="28"/>
        </w:rPr>
        <w:t xml:space="preserve"> GW of capacity has been commissioned and rest of the projects are under various stages of implementation (as on 3</w:t>
      </w:r>
      <w:r w:rsidR="001004AB">
        <w:rPr>
          <w:sz w:val="28"/>
          <w:szCs w:val="28"/>
        </w:rPr>
        <w:t>0.06</w:t>
      </w:r>
      <w:r>
        <w:rPr>
          <w:sz w:val="28"/>
          <w:szCs w:val="28"/>
        </w:rPr>
        <w:t>.202</w:t>
      </w:r>
      <w:r w:rsidR="001004AB">
        <w:rPr>
          <w:sz w:val="28"/>
          <w:szCs w:val="28"/>
        </w:rPr>
        <w:t>4</w:t>
      </w:r>
      <w:r w:rsidRPr="00E71AD1">
        <w:rPr>
          <w:sz w:val="28"/>
          <w:szCs w:val="28"/>
        </w:rPr>
        <w:t xml:space="preserve">). </w:t>
      </w:r>
    </w:p>
    <w:p w14:paraId="4EA929B5" w14:textId="2DAC7FD7" w:rsidR="00E71AD1" w:rsidRDefault="003C67C6" w:rsidP="00E71AD1">
      <w:pPr>
        <w:pStyle w:val="BodyText"/>
        <w:spacing w:before="70" w:line="360" w:lineRule="auto"/>
        <w:ind w:right="135"/>
        <w:jc w:val="center"/>
      </w:pPr>
      <w:r>
        <w:rPr>
          <w:noProof/>
          <w:lang w:val="en-IN" w:eastAsia="en-IN"/>
        </w:rPr>
        <w:lastRenderedPageBreak/>
        <w:drawing>
          <wp:inline distT="0" distB="0" distL="0" distR="0" wp14:anchorId="66C6BF1D" wp14:editId="01594901">
            <wp:extent cx="6101385" cy="2733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794" cy="2762199"/>
                    </a:xfrm>
                    <a:prstGeom prst="rect">
                      <a:avLst/>
                    </a:prstGeom>
                    <a:noFill/>
                  </pic:spPr>
                </pic:pic>
              </a:graphicData>
            </a:graphic>
          </wp:inline>
        </w:drawing>
      </w:r>
    </w:p>
    <w:p w14:paraId="4AB1EF4D" w14:textId="77777777" w:rsidR="00E71AD1" w:rsidRDefault="00E71AD1" w:rsidP="00E71AD1">
      <w:pPr>
        <w:pStyle w:val="BodyText"/>
        <w:spacing w:before="154" w:line="360" w:lineRule="auto"/>
        <w:ind w:left="140" w:right="18"/>
        <w:jc w:val="both"/>
      </w:pPr>
      <w:r>
        <w:t>In</w:t>
      </w:r>
      <w:r w:rsidRPr="00CC352B">
        <w:t xml:space="preserve"> </w:t>
      </w:r>
      <w:r>
        <w:t>these</w:t>
      </w:r>
      <w:r w:rsidRPr="00CC352B">
        <w:t xml:space="preserve"> </w:t>
      </w:r>
      <w:r>
        <w:t>projects,</w:t>
      </w:r>
      <w:r w:rsidRPr="00CC352B">
        <w:t xml:space="preserve"> </w:t>
      </w:r>
      <w:r>
        <w:t>SECI</w:t>
      </w:r>
      <w:r w:rsidRPr="00CC352B">
        <w:t xml:space="preserve"> </w:t>
      </w:r>
      <w:r>
        <w:t>is</w:t>
      </w:r>
      <w:r w:rsidRPr="00CC352B">
        <w:t xml:space="preserve"> </w:t>
      </w:r>
      <w:r>
        <w:t>the</w:t>
      </w:r>
      <w:r w:rsidRPr="00CC352B">
        <w:t xml:space="preserve"> </w:t>
      </w:r>
      <w:r>
        <w:t>power</w:t>
      </w:r>
      <w:r w:rsidRPr="00CC352B">
        <w:t xml:space="preserve"> </w:t>
      </w:r>
      <w:r>
        <w:t>procurement</w:t>
      </w:r>
      <w:r w:rsidRPr="00CC352B">
        <w:t xml:space="preserve"> </w:t>
      </w:r>
      <w:r>
        <w:t>intermediary</w:t>
      </w:r>
      <w:r w:rsidRPr="00CC352B">
        <w:t xml:space="preserve"> </w:t>
      </w:r>
      <w:r>
        <w:t>between</w:t>
      </w:r>
      <w:r w:rsidRPr="00CC352B">
        <w:t xml:space="preserve"> </w:t>
      </w:r>
      <w:r>
        <w:t>the</w:t>
      </w:r>
      <w:r w:rsidRPr="00CC352B">
        <w:t xml:space="preserve"> </w:t>
      </w:r>
      <w:r>
        <w:t xml:space="preserve">project </w:t>
      </w:r>
      <w:r w:rsidRPr="00CC352B">
        <w:t>developers</w:t>
      </w:r>
      <w:r>
        <w:t xml:space="preserve"> and Distribution Companies</w:t>
      </w:r>
      <w:r w:rsidRPr="00CC352B">
        <w:t xml:space="preserve"> </w:t>
      </w:r>
      <w:r>
        <w:t>(</w:t>
      </w:r>
      <w:proofErr w:type="spellStart"/>
      <w:r>
        <w:t>Discoms</w:t>
      </w:r>
      <w:proofErr w:type="spellEnd"/>
      <w:r>
        <w:t>)</w:t>
      </w:r>
      <w:r w:rsidRPr="00CC352B">
        <w:t xml:space="preserve"> </w:t>
      </w:r>
      <w:r>
        <w:t xml:space="preserve">and enters into 25-year Power </w:t>
      </w:r>
      <w:r w:rsidRPr="00CC352B">
        <w:t>Purchase Agreements</w:t>
      </w:r>
      <w:r>
        <w:t xml:space="preserve"> (PPAs) and Power Sale Agreements</w:t>
      </w:r>
      <w:r w:rsidRPr="00CC352B">
        <w:t xml:space="preserve"> </w:t>
      </w:r>
      <w:r>
        <w:t>(PSAs) with these entities respectively. Under this</w:t>
      </w:r>
      <w:r w:rsidRPr="00CC352B">
        <w:t xml:space="preserve"> model, </w:t>
      </w:r>
      <w:r>
        <w:t>SECI</w:t>
      </w:r>
      <w:r w:rsidRPr="00CC352B">
        <w:t xml:space="preserve"> </w:t>
      </w:r>
      <w:r>
        <w:t>offers</w:t>
      </w:r>
      <w:r w:rsidRPr="00CC352B">
        <w:t xml:space="preserve"> </w:t>
      </w:r>
      <w:r>
        <w:t>payment</w:t>
      </w:r>
      <w:r w:rsidRPr="00CC352B">
        <w:t xml:space="preserve"> </w:t>
      </w:r>
      <w:r>
        <w:t>security</w:t>
      </w:r>
      <w:r w:rsidRPr="00CC352B">
        <w:t xml:space="preserve"> </w:t>
      </w:r>
      <w:r>
        <w:t>to</w:t>
      </w:r>
      <w:r w:rsidRPr="00CC352B">
        <w:t xml:space="preserve"> </w:t>
      </w:r>
      <w:r>
        <w:t>developers</w:t>
      </w:r>
      <w:r w:rsidRPr="00CC352B">
        <w:t xml:space="preserve"> </w:t>
      </w:r>
      <w:r>
        <w:t xml:space="preserve">and undertakes to collect payment from </w:t>
      </w:r>
      <w:proofErr w:type="spellStart"/>
      <w:r>
        <w:t>Discoms</w:t>
      </w:r>
      <w:proofErr w:type="spellEnd"/>
      <w:r>
        <w:t>.</w:t>
      </w:r>
      <w:r w:rsidRPr="00CC352B">
        <w:t xml:space="preserve"> </w:t>
      </w:r>
      <w:r>
        <w:t>SECI's payment security mechanism has helped in</w:t>
      </w:r>
      <w:r w:rsidRPr="00CC352B">
        <w:t xml:space="preserve"> </w:t>
      </w:r>
      <w:r>
        <w:t>providing bankability to the agreements, resulting</w:t>
      </w:r>
      <w:r w:rsidRPr="00CC352B">
        <w:t xml:space="preserve"> </w:t>
      </w:r>
      <w:r>
        <w:t>in very good participation in its tenders and in</w:t>
      </w:r>
      <w:r w:rsidRPr="00CC352B">
        <w:t xml:space="preserve"> </w:t>
      </w:r>
      <w:r>
        <w:t>lowering</w:t>
      </w:r>
      <w:r w:rsidRPr="00CC352B">
        <w:t xml:space="preserve"> </w:t>
      </w:r>
      <w:r>
        <w:t>of</w:t>
      </w:r>
      <w:r w:rsidRPr="00CC352B">
        <w:t xml:space="preserve"> </w:t>
      </w:r>
      <w:r>
        <w:t>the</w:t>
      </w:r>
      <w:r w:rsidRPr="00CC352B">
        <w:t xml:space="preserve"> </w:t>
      </w:r>
      <w:r>
        <w:t>tariffs.</w:t>
      </w:r>
    </w:p>
    <w:p w14:paraId="2736420E" w14:textId="77777777" w:rsidR="00E71AD1" w:rsidRDefault="00E71AD1" w:rsidP="00E71AD1">
      <w:pPr>
        <w:pStyle w:val="BodyText"/>
        <w:spacing w:before="154" w:line="360" w:lineRule="auto"/>
        <w:ind w:left="140" w:right="18"/>
        <w:jc w:val="both"/>
      </w:pPr>
      <w:r>
        <w:t>SECI has also played a pivotal role in promoting</w:t>
      </w:r>
      <w:r w:rsidRPr="00E71AD1">
        <w:t xml:space="preserve"> </w:t>
      </w:r>
      <w:r>
        <w:t>rooftop</w:t>
      </w:r>
      <w:r w:rsidRPr="00E71AD1">
        <w:t xml:space="preserve"> </w:t>
      </w:r>
      <w:r>
        <w:t>solar</w:t>
      </w:r>
      <w:r w:rsidRPr="00E71AD1">
        <w:t xml:space="preserve"> </w:t>
      </w:r>
      <w:r>
        <w:t>PV</w:t>
      </w:r>
      <w:r w:rsidRPr="00E71AD1">
        <w:t xml:space="preserve"> </w:t>
      </w:r>
      <w:r>
        <w:t>projects</w:t>
      </w:r>
      <w:r w:rsidRPr="00E71AD1">
        <w:t xml:space="preserve"> </w:t>
      </w:r>
      <w:r>
        <w:t>through</w:t>
      </w:r>
      <w:r w:rsidRPr="00E71AD1">
        <w:t xml:space="preserve"> </w:t>
      </w:r>
      <w:r>
        <w:t>competitive</w:t>
      </w:r>
      <w:r w:rsidRPr="00E71AD1">
        <w:t xml:space="preserve"> </w:t>
      </w:r>
      <w:r>
        <w:t>bidding</w:t>
      </w:r>
      <w:r w:rsidRPr="00E71AD1">
        <w:t xml:space="preserve"> </w:t>
      </w:r>
      <w:r>
        <w:t>route</w:t>
      </w:r>
      <w:r w:rsidRPr="00E71AD1">
        <w:t xml:space="preserve"> </w:t>
      </w:r>
      <w:r>
        <w:t>in</w:t>
      </w:r>
      <w:r w:rsidRPr="00E71AD1">
        <w:t xml:space="preserve"> </w:t>
      </w:r>
      <w:r>
        <w:t>the</w:t>
      </w:r>
      <w:r w:rsidRPr="00E71AD1">
        <w:t xml:space="preserve"> </w:t>
      </w:r>
      <w:r>
        <w:t>country</w:t>
      </w:r>
      <w:r w:rsidRPr="00E71AD1">
        <w:t xml:space="preserve"> </w:t>
      </w:r>
      <w:r>
        <w:t>under</w:t>
      </w:r>
      <w:r w:rsidRPr="00E71AD1">
        <w:t xml:space="preserve"> </w:t>
      </w:r>
      <w:r>
        <w:t>various</w:t>
      </w:r>
      <w:r w:rsidRPr="00E71AD1">
        <w:t xml:space="preserve"> </w:t>
      </w:r>
      <w:r>
        <w:t>schemes</w:t>
      </w:r>
      <w:r w:rsidRPr="00E71AD1">
        <w:t xml:space="preserve"> </w:t>
      </w:r>
      <w:r>
        <w:t>of</w:t>
      </w:r>
      <w:r w:rsidRPr="00E71AD1">
        <w:t xml:space="preserve"> </w:t>
      </w:r>
      <w:r>
        <w:t>MNRE.</w:t>
      </w:r>
      <w:r w:rsidRPr="00E71AD1">
        <w:t xml:space="preserve"> </w:t>
      </w:r>
      <w:r>
        <w:t>SECI</w:t>
      </w:r>
      <w:r w:rsidRPr="00E71AD1">
        <w:t xml:space="preserve"> </w:t>
      </w:r>
      <w:r>
        <w:t>has</w:t>
      </w:r>
      <w:r w:rsidRPr="00E71AD1">
        <w:t xml:space="preserve"> </w:t>
      </w:r>
      <w:r>
        <w:t>helped</w:t>
      </w:r>
      <w:r w:rsidRPr="00E71AD1">
        <w:t xml:space="preserve"> </w:t>
      </w:r>
      <w:r>
        <w:t>in</w:t>
      </w:r>
      <w:r w:rsidRPr="00E71AD1">
        <w:t xml:space="preserve"> </w:t>
      </w:r>
      <w:r>
        <w:t>commissioning</w:t>
      </w:r>
      <w:r w:rsidRPr="00E71AD1">
        <w:t xml:space="preserve"> </w:t>
      </w:r>
      <w:r>
        <w:t>of over 5000 projects with an aggregate capacity of 370 MW in various States/Union</w:t>
      </w:r>
      <w:r w:rsidRPr="00E71AD1">
        <w:t xml:space="preserve"> </w:t>
      </w:r>
      <w:r>
        <w:t>Territories</w:t>
      </w:r>
      <w:r w:rsidRPr="00E71AD1">
        <w:t xml:space="preserve"> </w:t>
      </w:r>
      <w:r>
        <w:t>through</w:t>
      </w:r>
      <w:r w:rsidRPr="00E71AD1">
        <w:t xml:space="preserve"> </w:t>
      </w:r>
      <w:r>
        <w:t>developers.</w:t>
      </w:r>
    </w:p>
    <w:p w14:paraId="6790C7D5" w14:textId="77777777" w:rsidR="00E71AD1" w:rsidRDefault="00E71AD1" w:rsidP="00E71AD1">
      <w:pPr>
        <w:pStyle w:val="BodyText"/>
        <w:spacing w:before="154" w:line="360" w:lineRule="auto"/>
        <w:ind w:left="140" w:right="18"/>
        <w:jc w:val="both"/>
      </w:pPr>
      <w:r>
        <w:t>SECI is also implementing various schemes of MNRE in which it plays the role of</w:t>
      </w:r>
      <w:r w:rsidRPr="00E71AD1">
        <w:t xml:space="preserve"> </w:t>
      </w:r>
      <w:r>
        <w:t>disbursing</w:t>
      </w:r>
      <w:r w:rsidRPr="00E71AD1">
        <w:t xml:space="preserve"> </w:t>
      </w:r>
      <w:r>
        <w:t>Central</w:t>
      </w:r>
      <w:r w:rsidRPr="00E71AD1">
        <w:t xml:space="preserve"> </w:t>
      </w:r>
      <w:r>
        <w:t>Financial</w:t>
      </w:r>
      <w:r w:rsidRPr="00E71AD1">
        <w:t xml:space="preserve"> </w:t>
      </w:r>
      <w:r>
        <w:t>Assistance</w:t>
      </w:r>
      <w:r w:rsidRPr="00E71AD1">
        <w:t xml:space="preserve"> </w:t>
      </w:r>
      <w:r>
        <w:t>(CFA)</w:t>
      </w:r>
      <w:r w:rsidRPr="00E71AD1">
        <w:t xml:space="preserve"> </w:t>
      </w:r>
      <w:r>
        <w:t>to</w:t>
      </w:r>
      <w:r w:rsidRPr="00E71AD1">
        <w:t xml:space="preserve"> </w:t>
      </w:r>
      <w:r>
        <w:t>the</w:t>
      </w:r>
      <w:r w:rsidRPr="00E71AD1">
        <w:t xml:space="preserve"> </w:t>
      </w:r>
      <w:r>
        <w:t>project</w:t>
      </w:r>
      <w:r w:rsidRPr="00E71AD1">
        <w:t xml:space="preserve"> </w:t>
      </w:r>
      <w:r>
        <w:t>implementing</w:t>
      </w:r>
      <w:r w:rsidRPr="00E71AD1">
        <w:t xml:space="preserve"> </w:t>
      </w:r>
      <w:r>
        <w:t>agencies</w:t>
      </w:r>
      <w:r w:rsidRPr="00E71AD1">
        <w:t xml:space="preserve"> </w:t>
      </w:r>
      <w:r>
        <w:t>on the basis of pre-defined scheme milestones. Major schemes are- Solar Parks</w:t>
      </w:r>
      <w:r w:rsidRPr="00E71AD1">
        <w:t xml:space="preserve"> </w:t>
      </w:r>
      <w:r>
        <w:t xml:space="preserve">Scheme, Canal Top/ Canal Bank Scheme, Scheme for </w:t>
      </w:r>
      <w:proofErr w:type="spellStart"/>
      <w:r>
        <w:t>Defence</w:t>
      </w:r>
      <w:proofErr w:type="spellEnd"/>
      <w:r>
        <w:t xml:space="preserve"> Establishments and</w:t>
      </w:r>
      <w:r w:rsidRPr="00E71AD1">
        <w:t xml:space="preserve"> </w:t>
      </w:r>
      <w:r>
        <w:t>CPSU</w:t>
      </w:r>
      <w:r w:rsidRPr="00E71AD1">
        <w:t xml:space="preserve"> </w:t>
      </w:r>
      <w:r>
        <w:t>scheme.</w:t>
      </w:r>
    </w:p>
    <w:p w14:paraId="62F9161B" w14:textId="77777777" w:rsidR="00917045" w:rsidRDefault="00917045" w:rsidP="00E71AD1">
      <w:pPr>
        <w:pStyle w:val="BodyText"/>
        <w:spacing w:before="154" w:line="360" w:lineRule="auto"/>
        <w:ind w:left="140" w:right="18"/>
        <w:jc w:val="both"/>
      </w:pPr>
    </w:p>
    <w:p w14:paraId="3D239A02" w14:textId="77777777" w:rsidR="00E31FCD" w:rsidRPr="00822C42" w:rsidRDefault="00426DD5" w:rsidP="00822C42">
      <w:pPr>
        <w:pStyle w:val="ListParagraph"/>
        <w:numPr>
          <w:ilvl w:val="0"/>
          <w:numId w:val="2"/>
        </w:numPr>
        <w:tabs>
          <w:tab w:val="left" w:pos="861"/>
        </w:tabs>
        <w:spacing w:before="163"/>
        <w:ind w:hanging="361"/>
        <w:rPr>
          <w:b/>
          <w:sz w:val="28"/>
        </w:rPr>
      </w:pPr>
      <w:r w:rsidRPr="00822C42">
        <w:rPr>
          <w:b/>
          <w:sz w:val="28"/>
        </w:rPr>
        <w:lastRenderedPageBreak/>
        <w:t>Own Projects</w:t>
      </w:r>
    </w:p>
    <w:p w14:paraId="19D826A8" w14:textId="12913E57" w:rsidR="00E31FCD" w:rsidRDefault="00426DD5">
      <w:pPr>
        <w:pStyle w:val="BodyText"/>
        <w:spacing w:before="154" w:line="360" w:lineRule="auto"/>
        <w:ind w:left="140" w:right="18"/>
        <w:jc w:val="both"/>
      </w:pPr>
      <w:r>
        <w:t xml:space="preserve">SECI has set up </w:t>
      </w:r>
      <w:r w:rsidR="00A85273">
        <w:t>1</w:t>
      </w:r>
      <w:r>
        <w:t>2</w:t>
      </w:r>
      <w:r w:rsidR="00007E5F">
        <w:t>2.7</w:t>
      </w:r>
      <w:r>
        <w:t xml:space="preserve"> MW of solar</w:t>
      </w:r>
      <w:r>
        <w:rPr>
          <w:spacing w:val="1"/>
        </w:rPr>
        <w:t xml:space="preserve"> </w:t>
      </w:r>
      <w:r>
        <w:t>projects</w:t>
      </w:r>
      <w:r>
        <w:rPr>
          <w:spacing w:val="1"/>
        </w:rPr>
        <w:t xml:space="preserve"> </w:t>
      </w:r>
      <w:r>
        <w:t>on</w:t>
      </w:r>
      <w:r>
        <w:rPr>
          <w:spacing w:val="1"/>
        </w:rPr>
        <w:t xml:space="preserve"> </w:t>
      </w:r>
      <w:r>
        <w:t>pilot</w:t>
      </w:r>
      <w:r>
        <w:rPr>
          <w:spacing w:val="1"/>
        </w:rPr>
        <w:t xml:space="preserve"> </w:t>
      </w:r>
      <w:r>
        <w:t>scale</w:t>
      </w:r>
      <w:r>
        <w:rPr>
          <w:spacing w:val="1"/>
        </w:rPr>
        <w:t xml:space="preserve"> </w:t>
      </w:r>
      <w:r>
        <w:t>through</w:t>
      </w:r>
      <w:r w:rsidRPr="00966ECA">
        <w:t xml:space="preserve"> </w:t>
      </w:r>
      <w:r>
        <w:t>its</w:t>
      </w:r>
      <w:r w:rsidRPr="00966ECA">
        <w:t xml:space="preserve"> own investment </w:t>
      </w:r>
      <w:r>
        <w:rPr>
          <w:spacing w:val="-1"/>
        </w:rPr>
        <w:t>and</w:t>
      </w:r>
      <w:r w:rsidR="00966ECA">
        <w:t xml:space="preserve"> further </w:t>
      </w:r>
      <w:r>
        <w:t>projects</w:t>
      </w:r>
      <w:r>
        <w:rPr>
          <w:spacing w:val="1"/>
        </w:rPr>
        <w:t xml:space="preserve"> </w:t>
      </w:r>
      <w:r>
        <w:t>are</w:t>
      </w:r>
      <w:r>
        <w:rPr>
          <w:spacing w:val="1"/>
        </w:rPr>
        <w:t xml:space="preserve"> </w:t>
      </w:r>
      <w:r w:rsidR="00966ECA">
        <w:t>under construction</w:t>
      </w:r>
      <w:r w:rsidR="00F130C1" w:rsidRPr="00F130C1">
        <w:t xml:space="preserve"> </w:t>
      </w:r>
      <w:r w:rsidR="00F130C1" w:rsidRPr="00E71AD1">
        <w:t>(as on 3</w:t>
      </w:r>
      <w:r w:rsidR="00A85273">
        <w:t>0.06</w:t>
      </w:r>
      <w:r w:rsidR="00F130C1">
        <w:t>.202</w:t>
      </w:r>
      <w:r w:rsidR="00A85273">
        <w:t>4</w:t>
      </w:r>
      <w:r w:rsidR="00F130C1" w:rsidRPr="00E71AD1">
        <w:t>).</w:t>
      </w:r>
    </w:p>
    <w:tbl>
      <w:tblPr>
        <w:tblStyle w:val="TableGrid"/>
        <w:tblW w:w="5089" w:type="pct"/>
        <w:tblLook w:val="04A0" w:firstRow="1" w:lastRow="0" w:firstColumn="1" w:lastColumn="0" w:noHBand="0" w:noVBand="1"/>
      </w:tblPr>
      <w:tblGrid>
        <w:gridCol w:w="714"/>
        <w:gridCol w:w="1845"/>
        <w:gridCol w:w="3575"/>
        <w:gridCol w:w="1374"/>
        <w:gridCol w:w="2293"/>
      </w:tblGrid>
      <w:tr w:rsidR="00E472FE" w:rsidRPr="00966ECA" w14:paraId="3BF850F4" w14:textId="77777777" w:rsidTr="008E5142">
        <w:trPr>
          <w:trHeight w:val="624"/>
        </w:trPr>
        <w:tc>
          <w:tcPr>
            <w:tcW w:w="364" w:type="pct"/>
            <w:vAlign w:val="center"/>
            <w:hideMark/>
          </w:tcPr>
          <w:p w14:paraId="6ED23AC0" w14:textId="77777777" w:rsidR="00E472FE" w:rsidRPr="00966ECA" w:rsidRDefault="00E472FE" w:rsidP="008E5142">
            <w:pPr>
              <w:pStyle w:val="BodyText"/>
              <w:jc w:val="center"/>
              <w:rPr>
                <w:b/>
                <w:bCs/>
              </w:rPr>
            </w:pPr>
            <w:r w:rsidRPr="00966ECA">
              <w:rPr>
                <w:b/>
                <w:bCs/>
              </w:rPr>
              <w:t>S. No.</w:t>
            </w:r>
          </w:p>
        </w:tc>
        <w:tc>
          <w:tcPr>
            <w:tcW w:w="941" w:type="pct"/>
            <w:vAlign w:val="center"/>
            <w:hideMark/>
          </w:tcPr>
          <w:p w14:paraId="1224C406" w14:textId="77777777" w:rsidR="00E472FE" w:rsidRPr="00966ECA" w:rsidRDefault="00E472FE" w:rsidP="008E5142">
            <w:pPr>
              <w:pStyle w:val="BodyText"/>
              <w:jc w:val="center"/>
              <w:rPr>
                <w:b/>
                <w:bCs/>
              </w:rPr>
            </w:pPr>
            <w:r w:rsidRPr="00966ECA">
              <w:rPr>
                <w:b/>
                <w:bCs/>
              </w:rPr>
              <w:t>Name</w:t>
            </w:r>
          </w:p>
        </w:tc>
        <w:tc>
          <w:tcPr>
            <w:tcW w:w="1824" w:type="pct"/>
            <w:vAlign w:val="center"/>
            <w:hideMark/>
          </w:tcPr>
          <w:p w14:paraId="2780DFCA" w14:textId="77777777" w:rsidR="00E472FE" w:rsidRPr="00966ECA" w:rsidRDefault="00E472FE" w:rsidP="008E5142">
            <w:pPr>
              <w:pStyle w:val="BodyText"/>
              <w:jc w:val="center"/>
              <w:rPr>
                <w:b/>
                <w:bCs/>
              </w:rPr>
            </w:pPr>
            <w:r w:rsidRPr="00966ECA">
              <w:rPr>
                <w:b/>
                <w:bCs/>
              </w:rPr>
              <w:t>Location</w:t>
            </w:r>
          </w:p>
        </w:tc>
        <w:tc>
          <w:tcPr>
            <w:tcW w:w="701" w:type="pct"/>
            <w:vAlign w:val="center"/>
            <w:hideMark/>
          </w:tcPr>
          <w:p w14:paraId="16161869" w14:textId="77777777" w:rsidR="00E472FE" w:rsidRPr="00966ECA" w:rsidRDefault="00E472FE" w:rsidP="008E5142">
            <w:pPr>
              <w:pStyle w:val="BodyText"/>
              <w:jc w:val="center"/>
              <w:rPr>
                <w:b/>
                <w:bCs/>
              </w:rPr>
            </w:pPr>
            <w:r w:rsidRPr="00966ECA">
              <w:rPr>
                <w:b/>
                <w:bCs/>
              </w:rPr>
              <w:t>Capacity (MW)</w:t>
            </w:r>
          </w:p>
        </w:tc>
        <w:tc>
          <w:tcPr>
            <w:tcW w:w="1170" w:type="pct"/>
            <w:vAlign w:val="center"/>
            <w:hideMark/>
          </w:tcPr>
          <w:p w14:paraId="68B32752" w14:textId="77777777" w:rsidR="00E472FE" w:rsidRPr="00966ECA" w:rsidRDefault="00E472FE" w:rsidP="008E5142">
            <w:pPr>
              <w:pStyle w:val="BodyText"/>
              <w:jc w:val="center"/>
              <w:rPr>
                <w:b/>
                <w:bCs/>
              </w:rPr>
            </w:pPr>
            <w:r w:rsidRPr="00966ECA">
              <w:rPr>
                <w:b/>
                <w:bCs/>
              </w:rPr>
              <w:t>Status</w:t>
            </w:r>
          </w:p>
        </w:tc>
      </w:tr>
      <w:tr w:rsidR="00E472FE" w:rsidRPr="00966ECA" w14:paraId="541DCAC1" w14:textId="77777777" w:rsidTr="008E5142">
        <w:trPr>
          <w:trHeight w:val="624"/>
        </w:trPr>
        <w:tc>
          <w:tcPr>
            <w:tcW w:w="364" w:type="pct"/>
            <w:vAlign w:val="center"/>
            <w:hideMark/>
          </w:tcPr>
          <w:p w14:paraId="40466427" w14:textId="77777777" w:rsidR="00E472FE" w:rsidRPr="00966ECA" w:rsidRDefault="00E472FE" w:rsidP="008E5142">
            <w:pPr>
              <w:pStyle w:val="BodyText"/>
              <w:jc w:val="center"/>
            </w:pPr>
            <w:r w:rsidRPr="00966ECA">
              <w:t>1</w:t>
            </w:r>
          </w:p>
        </w:tc>
        <w:tc>
          <w:tcPr>
            <w:tcW w:w="941" w:type="pct"/>
            <w:vAlign w:val="center"/>
            <w:hideMark/>
          </w:tcPr>
          <w:p w14:paraId="677CF8E4" w14:textId="77777777" w:rsidR="00E472FE" w:rsidRPr="00966ECA" w:rsidRDefault="00E472FE" w:rsidP="008E5142">
            <w:pPr>
              <w:pStyle w:val="BodyText"/>
              <w:jc w:val="center"/>
            </w:pPr>
            <w:r w:rsidRPr="00966ECA">
              <w:t>Solar</w:t>
            </w:r>
          </w:p>
        </w:tc>
        <w:tc>
          <w:tcPr>
            <w:tcW w:w="1824" w:type="pct"/>
            <w:vAlign w:val="center"/>
            <w:hideMark/>
          </w:tcPr>
          <w:p w14:paraId="40654308" w14:textId="77777777" w:rsidR="00E472FE" w:rsidRPr="00966ECA" w:rsidRDefault="00E472FE" w:rsidP="008E5142">
            <w:pPr>
              <w:pStyle w:val="BodyText"/>
              <w:jc w:val="center"/>
            </w:pPr>
            <w:proofErr w:type="spellStart"/>
            <w:r w:rsidRPr="00966ECA">
              <w:t>Badi</w:t>
            </w:r>
            <w:proofErr w:type="spellEnd"/>
            <w:r w:rsidRPr="00966ECA">
              <w:t xml:space="preserve"> Sid, Rajasthan</w:t>
            </w:r>
          </w:p>
        </w:tc>
        <w:tc>
          <w:tcPr>
            <w:tcW w:w="701" w:type="pct"/>
            <w:vAlign w:val="center"/>
            <w:hideMark/>
          </w:tcPr>
          <w:p w14:paraId="07C95B95" w14:textId="77777777" w:rsidR="00E472FE" w:rsidRPr="00966ECA" w:rsidRDefault="00E472FE" w:rsidP="008E5142">
            <w:pPr>
              <w:pStyle w:val="BodyText"/>
              <w:jc w:val="center"/>
            </w:pPr>
            <w:r w:rsidRPr="00966ECA">
              <w:t>10</w:t>
            </w:r>
          </w:p>
        </w:tc>
        <w:tc>
          <w:tcPr>
            <w:tcW w:w="1170" w:type="pct"/>
            <w:vAlign w:val="center"/>
            <w:hideMark/>
          </w:tcPr>
          <w:p w14:paraId="52CB1627" w14:textId="77777777" w:rsidR="00E472FE" w:rsidRPr="00966ECA" w:rsidRDefault="00E472FE" w:rsidP="008E5142">
            <w:pPr>
              <w:pStyle w:val="BodyText"/>
              <w:jc w:val="center"/>
            </w:pPr>
            <w:r w:rsidRPr="00966ECA">
              <w:t>Commissioned</w:t>
            </w:r>
          </w:p>
        </w:tc>
      </w:tr>
      <w:tr w:rsidR="00E472FE" w:rsidRPr="00966ECA" w14:paraId="1CFE1959" w14:textId="77777777" w:rsidTr="008E5142">
        <w:trPr>
          <w:trHeight w:val="624"/>
        </w:trPr>
        <w:tc>
          <w:tcPr>
            <w:tcW w:w="364" w:type="pct"/>
            <w:vAlign w:val="center"/>
            <w:hideMark/>
          </w:tcPr>
          <w:p w14:paraId="15F8403B" w14:textId="77777777" w:rsidR="00E472FE" w:rsidRPr="00966ECA" w:rsidRDefault="00E472FE" w:rsidP="008E5142">
            <w:pPr>
              <w:pStyle w:val="BodyText"/>
              <w:jc w:val="center"/>
            </w:pPr>
            <w:r w:rsidRPr="00966ECA">
              <w:t>2</w:t>
            </w:r>
          </w:p>
        </w:tc>
        <w:tc>
          <w:tcPr>
            <w:tcW w:w="941" w:type="pct"/>
            <w:vAlign w:val="center"/>
            <w:hideMark/>
          </w:tcPr>
          <w:p w14:paraId="6FC4E369" w14:textId="77777777" w:rsidR="00E472FE" w:rsidRPr="00966ECA" w:rsidRDefault="00E472FE" w:rsidP="008E5142">
            <w:pPr>
              <w:pStyle w:val="BodyText"/>
              <w:jc w:val="center"/>
            </w:pPr>
            <w:r w:rsidRPr="00966ECA">
              <w:t>Rooftop solar</w:t>
            </w:r>
          </w:p>
        </w:tc>
        <w:tc>
          <w:tcPr>
            <w:tcW w:w="1824" w:type="pct"/>
            <w:vAlign w:val="center"/>
            <w:hideMark/>
          </w:tcPr>
          <w:p w14:paraId="6F551406" w14:textId="77777777" w:rsidR="00E472FE" w:rsidRPr="00966ECA" w:rsidRDefault="00E472FE" w:rsidP="008E5142">
            <w:pPr>
              <w:pStyle w:val="BodyText"/>
              <w:jc w:val="center"/>
            </w:pPr>
            <w:r w:rsidRPr="00966ECA">
              <w:t>Andaman &amp; Nicobar Islands</w:t>
            </w:r>
          </w:p>
        </w:tc>
        <w:tc>
          <w:tcPr>
            <w:tcW w:w="701" w:type="pct"/>
            <w:vAlign w:val="center"/>
            <w:hideMark/>
          </w:tcPr>
          <w:p w14:paraId="2DEE2523" w14:textId="77777777" w:rsidR="00E472FE" w:rsidRPr="00966ECA" w:rsidRDefault="00E472FE" w:rsidP="008E5142">
            <w:pPr>
              <w:pStyle w:val="BodyText"/>
              <w:jc w:val="center"/>
            </w:pPr>
            <w:r w:rsidRPr="00966ECA">
              <w:t>1</w:t>
            </w:r>
          </w:p>
        </w:tc>
        <w:tc>
          <w:tcPr>
            <w:tcW w:w="1170" w:type="pct"/>
            <w:vAlign w:val="center"/>
            <w:hideMark/>
          </w:tcPr>
          <w:p w14:paraId="24138C67" w14:textId="77777777" w:rsidR="00E472FE" w:rsidRPr="00966ECA" w:rsidRDefault="00E472FE" w:rsidP="008E5142">
            <w:pPr>
              <w:pStyle w:val="BodyText"/>
              <w:jc w:val="center"/>
            </w:pPr>
            <w:r w:rsidRPr="00966ECA">
              <w:t>Commissioned</w:t>
            </w:r>
          </w:p>
        </w:tc>
      </w:tr>
      <w:tr w:rsidR="00E472FE" w:rsidRPr="00966ECA" w14:paraId="0050F323" w14:textId="77777777" w:rsidTr="008E5142">
        <w:trPr>
          <w:trHeight w:val="624"/>
        </w:trPr>
        <w:tc>
          <w:tcPr>
            <w:tcW w:w="364" w:type="pct"/>
            <w:vAlign w:val="center"/>
            <w:hideMark/>
          </w:tcPr>
          <w:p w14:paraId="5B1F1B36" w14:textId="77777777" w:rsidR="00E472FE" w:rsidRPr="00966ECA" w:rsidRDefault="00E472FE" w:rsidP="008E5142">
            <w:pPr>
              <w:pStyle w:val="BodyText"/>
              <w:jc w:val="center"/>
            </w:pPr>
            <w:r w:rsidRPr="00966ECA">
              <w:t>3</w:t>
            </w:r>
          </w:p>
        </w:tc>
        <w:tc>
          <w:tcPr>
            <w:tcW w:w="941" w:type="pct"/>
            <w:vAlign w:val="center"/>
            <w:hideMark/>
          </w:tcPr>
          <w:p w14:paraId="5363C314" w14:textId="77777777" w:rsidR="00E472FE" w:rsidRPr="00966ECA" w:rsidRDefault="00E472FE" w:rsidP="008E5142">
            <w:pPr>
              <w:pStyle w:val="BodyText"/>
              <w:jc w:val="center"/>
            </w:pPr>
            <w:r w:rsidRPr="00966ECA">
              <w:t>Solar</w:t>
            </w:r>
          </w:p>
        </w:tc>
        <w:tc>
          <w:tcPr>
            <w:tcW w:w="1824" w:type="pct"/>
            <w:vAlign w:val="center"/>
            <w:hideMark/>
          </w:tcPr>
          <w:p w14:paraId="353FB5A6" w14:textId="77777777" w:rsidR="00E472FE" w:rsidRPr="00966ECA" w:rsidRDefault="00E472FE" w:rsidP="008E5142">
            <w:pPr>
              <w:pStyle w:val="BodyText"/>
              <w:jc w:val="center"/>
            </w:pPr>
            <w:proofErr w:type="spellStart"/>
            <w:r w:rsidRPr="00966ECA">
              <w:t>Kolar</w:t>
            </w:r>
            <w:proofErr w:type="spellEnd"/>
            <w:r w:rsidRPr="00966ECA">
              <w:t>, Karnataka</w:t>
            </w:r>
          </w:p>
        </w:tc>
        <w:tc>
          <w:tcPr>
            <w:tcW w:w="701" w:type="pct"/>
            <w:vAlign w:val="center"/>
            <w:hideMark/>
          </w:tcPr>
          <w:p w14:paraId="682883E8" w14:textId="77777777" w:rsidR="00E472FE" w:rsidRPr="00966ECA" w:rsidRDefault="00E472FE" w:rsidP="008E5142">
            <w:pPr>
              <w:pStyle w:val="BodyText"/>
              <w:jc w:val="center"/>
            </w:pPr>
            <w:r w:rsidRPr="00966ECA">
              <w:t>10</w:t>
            </w:r>
          </w:p>
        </w:tc>
        <w:tc>
          <w:tcPr>
            <w:tcW w:w="1170" w:type="pct"/>
            <w:vAlign w:val="center"/>
            <w:hideMark/>
          </w:tcPr>
          <w:p w14:paraId="75595CFB" w14:textId="77777777" w:rsidR="00E472FE" w:rsidRPr="00966ECA" w:rsidRDefault="00E472FE" w:rsidP="008E5142">
            <w:pPr>
              <w:pStyle w:val="BodyText"/>
              <w:jc w:val="center"/>
            </w:pPr>
            <w:r w:rsidRPr="00966ECA">
              <w:t>Commissioned</w:t>
            </w:r>
          </w:p>
        </w:tc>
      </w:tr>
      <w:tr w:rsidR="00007E5F" w:rsidRPr="00966ECA" w14:paraId="18ECEB64" w14:textId="77777777" w:rsidTr="008E5142">
        <w:trPr>
          <w:trHeight w:val="624"/>
        </w:trPr>
        <w:tc>
          <w:tcPr>
            <w:tcW w:w="364" w:type="pct"/>
            <w:vAlign w:val="center"/>
          </w:tcPr>
          <w:p w14:paraId="658658D8" w14:textId="41777198" w:rsidR="00007E5F" w:rsidRPr="00966ECA" w:rsidRDefault="00007E5F" w:rsidP="008E5142">
            <w:pPr>
              <w:pStyle w:val="BodyText"/>
              <w:jc w:val="center"/>
            </w:pPr>
            <w:r>
              <w:t>4</w:t>
            </w:r>
          </w:p>
        </w:tc>
        <w:tc>
          <w:tcPr>
            <w:tcW w:w="941" w:type="pct"/>
            <w:vAlign w:val="center"/>
          </w:tcPr>
          <w:p w14:paraId="6E0B503A" w14:textId="6B8DABB3" w:rsidR="00007E5F" w:rsidRPr="00966ECA" w:rsidRDefault="00007E5F" w:rsidP="008E5142">
            <w:pPr>
              <w:pStyle w:val="BodyText"/>
              <w:jc w:val="center"/>
            </w:pPr>
            <w:r w:rsidRPr="00966ECA">
              <w:t>Solar + BESS</w:t>
            </w:r>
          </w:p>
        </w:tc>
        <w:tc>
          <w:tcPr>
            <w:tcW w:w="1824" w:type="pct"/>
            <w:vAlign w:val="center"/>
          </w:tcPr>
          <w:p w14:paraId="4311A147" w14:textId="3500CF9D" w:rsidR="00007E5F" w:rsidRPr="00966ECA" w:rsidRDefault="00007E5F" w:rsidP="008E5142">
            <w:pPr>
              <w:pStyle w:val="BodyText"/>
              <w:jc w:val="center"/>
            </w:pPr>
            <w:r w:rsidRPr="00966ECA">
              <w:t>Lakshadweep</w:t>
            </w:r>
          </w:p>
        </w:tc>
        <w:tc>
          <w:tcPr>
            <w:tcW w:w="701" w:type="pct"/>
            <w:vAlign w:val="center"/>
          </w:tcPr>
          <w:p w14:paraId="16650354" w14:textId="2394FD50" w:rsidR="00007E5F" w:rsidRPr="00966ECA" w:rsidRDefault="00007E5F" w:rsidP="008E5142">
            <w:pPr>
              <w:pStyle w:val="BodyText"/>
              <w:jc w:val="center"/>
            </w:pPr>
            <w:r w:rsidRPr="00966ECA">
              <w:t>1.</w:t>
            </w:r>
            <w:r>
              <w:t>7</w:t>
            </w:r>
          </w:p>
        </w:tc>
        <w:tc>
          <w:tcPr>
            <w:tcW w:w="1170" w:type="pct"/>
            <w:vAlign w:val="center"/>
          </w:tcPr>
          <w:p w14:paraId="3C3D5B86" w14:textId="4242DE90" w:rsidR="00007E5F" w:rsidRPr="00076228" w:rsidRDefault="00BD5CC7" w:rsidP="008E5142">
            <w:pPr>
              <w:pStyle w:val="BodyText"/>
              <w:jc w:val="center"/>
            </w:pPr>
            <w:r w:rsidRPr="00BD5CC7">
              <w:t>Commissioned</w:t>
            </w:r>
          </w:p>
        </w:tc>
      </w:tr>
      <w:tr w:rsidR="00007E5F" w:rsidRPr="00966ECA" w14:paraId="0EC221DD" w14:textId="77777777" w:rsidTr="008E5142">
        <w:trPr>
          <w:trHeight w:val="624"/>
        </w:trPr>
        <w:tc>
          <w:tcPr>
            <w:tcW w:w="364" w:type="pct"/>
            <w:vAlign w:val="center"/>
            <w:hideMark/>
          </w:tcPr>
          <w:p w14:paraId="3C8C3332" w14:textId="23552705" w:rsidR="00007E5F" w:rsidRPr="00966ECA" w:rsidRDefault="00007E5F" w:rsidP="008E5142">
            <w:pPr>
              <w:pStyle w:val="BodyText"/>
              <w:jc w:val="center"/>
            </w:pPr>
            <w:r>
              <w:t>5</w:t>
            </w:r>
          </w:p>
        </w:tc>
        <w:tc>
          <w:tcPr>
            <w:tcW w:w="941" w:type="pct"/>
            <w:vAlign w:val="center"/>
            <w:hideMark/>
          </w:tcPr>
          <w:p w14:paraId="6994E8D1" w14:textId="77777777" w:rsidR="00007E5F" w:rsidRPr="00966ECA" w:rsidRDefault="00007E5F" w:rsidP="008E5142">
            <w:pPr>
              <w:pStyle w:val="BodyText"/>
              <w:jc w:val="center"/>
            </w:pPr>
            <w:r w:rsidRPr="00966ECA">
              <w:t>Solar + BESS</w:t>
            </w:r>
          </w:p>
        </w:tc>
        <w:tc>
          <w:tcPr>
            <w:tcW w:w="1824" w:type="pct"/>
            <w:vAlign w:val="center"/>
            <w:hideMark/>
          </w:tcPr>
          <w:p w14:paraId="10B4987C" w14:textId="77777777" w:rsidR="00007E5F" w:rsidRPr="00966ECA" w:rsidRDefault="00007E5F" w:rsidP="008E5142">
            <w:pPr>
              <w:pStyle w:val="BodyText"/>
              <w:jc w:val="center"/>
            </w:pPr>
            <w:proofErr w:type="spellStart"/>
            <w:r w:rsidRPr="00966ECA">
              <w:t>Rajnandgaon</w:t>
            </w:r>
            <w:proofErr w:type="spellEnd"/>
            <w:r w:rsidRPr="00966ECA">
              <w:t>, Chhattisgarh</w:t>
            </w:r>
          </w:p>
        </w:tc>
        <w:tc>
          <w:tcPr>
            <w:tcW w:w="701" w:type="pct"/>
            <w:vAlign w:val="center"/>
            <w:hideMark/>
          </w:tcPr>
          <w:p w14:paraId="7B4A7881" w14:textId="77777777" w:rsidR="00007E5F" w:rsidRPr="00966ECA" w:rsidRDefault="00007E5F" w:rsidP="008E5142">
            <w:pPr>
              <w:pStyle w:val="BodyText"/>
              <w:jc w:val="center"/>
            </w:pPr>
            <w:r w:rsidRPr="00966ECA">
              <w:t>100</w:t>
            </w:r>
          </w:p>
        </w:tc>
        <w:tc>
          <w:tcPr>
            <w:tcW w:w="1170" w:type="pct"/>
            <w:vAlign w:val="center"/>
            <w:hideMark/>
          </w:tcPr>
          <w:p w14:paraId="72FDD430" w14:textId="65D368E3" w:rsidR="00007E5F" w:rsidRPr="00966ECA" w:rsidRDefault="005E744F" w:rsidP="008E5142">
            <w:pPr>
              <w:pStyle w:val="BodyText"/>
              <w:jc w:val="center"/>
            </w:pPr>
            <w:r w:rsidRPr="00BD5CC7">
              <w:t>Commissioned</w:t>
            </w:r>
          </w:p>
        </w:tc>
      </w:tr>
      <w:tr w:rsidR="00007E5F" w:rsidRPr="00966ECA" w14:paraId="51939F64" w14:textId="77777777" w:rsidTr="008E5142">
        <w:trPr>
          <w:trHeight w:val="624"/>
        </w:trPr>
        <w:tc>
          <w:tcPr>
            <w:tcW w:w="364" w:type="pct"/>
            <w:vAlign w:val="center"/>
            <w:hideMark/>
          </w:tcPr>
          <w:p w14:paraId="4899C877" w14:textId="27062321" w:rsidR="00007E5F" w:rsidRPr="00966ECA" w:rsidRDefault="00007E5F" w:rsidP="008E5142">
            <w:pPr>
              <w:pStyle w:val="BodyText"/>
              <w:jc w:val="center"/>
            </w:pPr>
            <w:r>
              <w:t>6</w:t>
            </w:r>
          </w:p>
        </w:tc>
        <w:tc>
          <w:tcPr>
            <w:tcW w:w="941" w:type="pct"/>
            <w:vAlign w:val="center"/>
            <w:hideMark/>
          </w:tcPr>
          <w:p w14:paraId="4EAC6B60" w14:textId="77777777" w:rsidR="00007E5F" w:rsidRPr="00966ECA" w:rsidRDefault="00007E5F" w:rsidP="008E5142">
            <w:pPr>
              <w:pStyle w:val="BodyText"/>
              <w:jc w:val="center"/>
            </w:pPr>
            <w:r w:rsidRPr="00966ECA">
              <w:t>Floating solar</w:t>
            </w:r>
          </w:p>
        </w:tc>
        <w:tc>
          <w:tcPr>
            <w:tcW w:w="1824" w:type="pct"/>
            <w:vAlign w:val="center"/>
            <w:hideMark/>
          </w:tcPr>
          <w:p w14:paraId="47A01C2A" w14:textId="77777777" w:rsidR="00007E5F" w:rsidRPr="00966ECA" w:rsidRDefault="00007E5F" w:rsidP="008E5142">
            <w:pPr>
              <w:pStyle w:val="BodyText"/>
              <w:jc w:val="center"/>
            </w:pPr>
            <w:proofErr w:type="spellStart"/>
            <w:r w:rsidRPr="00966ECA">
              <w:t>Getalsud</w:t>
            </w:r>
            <w:proofErr w:type="spellEnd"/>
            <w:r w:rsidRPr="00966ECA">
              <w:t xml:space="preserve"> Dam, Jharkhand,</w:t>
            </w:r>
          </w:p>
        </w:tc>
        <w:tc>
          <w:tcPr>
            <w:tcW w:w="701" w:type="pct"/>
            <w:vAlign w:val="center"/>
            <w:hideMark/>
          </w:tcPr>
          <w:p w14:paraId="64654C60" w14:textId="77777777" w:rsidR="00007E5F" w:rsidRPr="00966ECA" w:rsidRDefault="00007E5F" w:rsidP="008E5142">
            <w:pPr>
              <w:pStyle w:val="BodyText"/>
              <w:jc w:val="center"/>
            </w:pPr>
            <w:r w:rsidRPr="00966ECA">
              <w:t>100</w:t>
            </w:r>
          </w:p>
        </w:tc>
        <w:tc>
          <w:tcPr>
            <w:tcW w:w="1170" w:type="pct"/>
            <w:vAlign w:val="center"/>
            <w:hideMark/>
          </w:tcPr>
          <w:p w14:paraId="1D2FE5E7" w14:textId="28AA2292" w:rsidR="00007E5F" w:rsidRPr="00966ECA" w:rsidRDefault="005E744F" w:rsidP="008E5142">
            <w:pPr>
              <w:pStyle w:val="BodyText"/>
              <w:jc w:val="center"/>
            </w:pPr>
            <w:r>
              <w:t>Under implementation</w:t>
            </w:r>
          </w:p>
        </w:tc>
      </w:tr>
      <w:tr w:rsidR="008E5142" w:rsidRPr="00966ECA" w14:paraId="110A4EE5" w14:textId="77777777" w:rsidTr="008E5142">
        <w:trPr>
          <w:trHeight w:val="624"/>
        </w:trPr>
        <w:tc>
          <w:tcPr>
            <w:tcW w:w="364" w:type="pct"/>
            <w:vAlign w:val="center"/>
            <w:hideMark/>
          </w:tcPr>
          <w:p w14:paraId="687973EE" w14:textId="77777777" w:rsidR="008E5142" w:rsidRPr="00966ECA" w:rsidRDefault="008E5142" w:rsidP="008E5142">
            <w:pPr>
              <w:pStyle w:val="BodyText"/>
              <w:jc w:val="center"/>
            </w:pPr>
            <w:r>
              <w:t>7</w:t>
            </w:r>
          </w:p>
        </w:tc>
        <w:tc>
          <w:tcPr>
            <w:tcW w:w="941" w:type="pct"/>
            <w:vAlign w:val="center"/>
            <w:hideMark/>
          </w:tcPr>
          <w:p w14:paraId="166161B5" w14:textId="60200EB0" w:rsidR="008E5142" w:rsidRPr="00966ECA" w:rsidRDefault="008E5142" w:rsidP="008E5142">
            <w:pPr>
              <w:pStyle w:val="BodyText"/>
              <w:jc w:val="center"/>
            </w:pPr>
            <w:r w:rsidRPr="00496D8C">
              <w:rPr>
                <w:lang w:eastAsia="en-IN"/>
              </w:rPr>
              <w:t>Solar</w:t>
            </w:r>
          </w:p>
        </w:tc>
        <w:tc>
          <w:tcPr>
            <w:tcW w:w="1824" w:type="pct"/>
            <w:vAlign w:val="center"/>
            <w:hideMark/>
          </w:tcPr>
          <w:p w14:paraId="30EE13FA" w14:textId="60BD52D3" w:rsidR="008E5142" w:rsidRPr="00966ECA" w:rsidRDefault="008E5142" w:rsidP="008E5142">
            <w:pPr>
              <w:pStyle w:val="BodyText"/>
              <w:jc w:val="center"/>
            </w:pPr>
            <w:proofErr w:type="spellStart"/>
            <w:r w:rsidRPr="00496D8C">
              <w:rPr>
                <w:lang w:eastAsia="en-IN"/>
              </w:rPr>
              <w:t>Ramagiri</w:t>
            </w:r>
            <w:proofErr w:type="spellEnd"/>
            <w:r w:rsidRPr="00496D8C">
              <w:rPr>
                <w:lang w:eastAsia="en-IN"/>
              </w:rPr>
              <w:t>, Andhra Pradesh</w:t>
            </w:r>
          </w:p>
        </w:tc>
        <w:tc>
          <w:tcPr>
            <w:tcW w:w="701" w:type="pct"/>
            <w:vAlign w:val="center"/>
            <w:hideMark/>
          </w:tcPr>
          <w:p w14:paraId="388132A4" w14:textId="7F7148F9" w:rsidR="008E5142" w:rsidRPr="00966ECA" w:rsidRDefault="008E5142" w:rsidP="008E5142">
            <w:pPr>
              <w:pStyle w:val="BodyText"/>
              <w:jc w:val="center"/>
            </w:pPr>
            <w:r w:rsidRPr="00496D8C">
              <w:rPr>
                <w:lang w:eastAsia="en-IN"/>
              </w:rPr>
              <w:t>300</w:t>
            </w:r>
          </w:p>
        </w:tc>
        <w:tc>
          <w:tcPr>
            <w:tcW w:w="1170" w:type="pct"/>
            <w:vAlign w:val="center"/>
            <w:hideMark/>
          </w:tcPr>
          <w:p w14:paraId="4F8088BB" w14:textId="26DFD5E3" w:rsidR="008E5142" w:rsidRPr="00966ECA" w:rsidRDefault="008E5142" w:rsidP="008E5142">
            <w:pPr>
              <w:pStyle w:val="BodyText"/>
              <w:jc w:val="center"/>
            </w:pPr>
            <w:r>
              <w:t>Under Govt. approval  stage</w:t>
            </w:r>
          </w:p>
        </w:tc>
      </w:tr>
      <w:tr w:rsidR="008E5142" w:rsidRPr="00966ECA" w14:paraId="03960587" w14:textId="77777777" w:rsidTr="008E5142">
        <w:trPr>
          <w:trHeight w:val="624"/>
        </w:trPr>
        <w:tc>
          <w:tcPr>
            <w:tcW w:w="364" w:type="pct"/>
            <w:vAlign w:val="center"/>
          </w:tcPr>
          <w:p w14:paraId="340A85B6" w14:textId="25C6BD6E" w:rsidR="008E5142" w:rsidRDefault="008E5142" w:rsidP="008E5142">
            <w:pPr>
              <w:pStyle w:val="BodyText"/>
              <w:jc w:val="center"/>
            </w:pPr>
            <w:r>
              <w:t>8</w:t>
            </w:r>
          </w:p>
        </w:tc>
        <w:tc>
          <w:tcPr>
            <w:tcW w:w="941" w:type="pct"/>
            <w:vAlign w:val="center"/>
          </w:tcPr>
          <w:p w14:paraId="12B8735B" w14:textId="38096CF9" w:rsidR="008E5142" w:rsidRPr="00966ECA" w:rsidRDefault="008E5142" w:rsidP="008E5142">
            <w:pPr>
              <w:pStyle w:val="BodyText"/>
              <w:jc w:val="center"/>
            </w:pPr>
            <w:r w:rsidRPr="00496D8C">
              <w:rPr>
                <w:lang w:eastAsia="en-IN"/>
              </w:rPr>
              <w:t>Solar</w:t>
            </w:r>
          </w:p>
        </w:tc>
        <w:tc>
          <w:tcPr>
            <w:tcW w:w="1824" w:type="pct"/>
            <w:vAlign w:val="center"/>
          </w:tcPr>
          <w:p w14:paraId="492E3489" w14:textId="5CA65151" w:rsidR="008E5142" w:rsidRPr="00966ECA" w:rsidRDefault="008E5142" w:rsidP="008E5142">
            <w:pPr>
              <w:pStyle w:val="BodyText"/>
              <w:jc w:val="center"/>
            </w:pPr>
            <w:proofErr w:type="spellStart"/>
            <w:r w:rsidRPr="00496D8C">
              <w:rPr>
                <w:lang w:eastAsia="en-IN"/>
              </w:rPr>
              <w:t>Radhanesda</w:t>
            </w:r>
            <w:proofErr w:type="spellEnd"/>
            <w:r w:rsidRPr="00496D8C">
              <w:rPr>
                <w:lang w:eastAsia="en-IN"/>
              </w:rPr>
              <w:t>, Gujarat</w:t>
            </w:r>
          </w:p>
        </w:tc>
        <w:tc>
          <w:tcPr>
            <w:tcW w:w="701" w:type="pct"/>
            <w:vAlign w:val="center"/>
          </w:tcPr>
          <w:p w14:paraId="0CA25ABE" w14:textId="738A677D" w:rsidR="008E5142" w:rsidRPr="00966ECA" w:rsidRDefault="008E5142" w:rsidP="008E5142">
            <w:pPr>
              <w:pStyle w:val="BodyText"/>
              <w:jc w:val="center"/>
            </w:pPr>
            <w:r w:rsidRPr="00496D8C">
              <w:rPr>
                <w:lang w:eastAsia="en-IN"/>
              </w:rPr>
              <w:t>700</w:t>
            </w:r>
          </w:p>
        </w:tc>
        <w:tc>
          <w:tcPr>
            <w:tcW w:w="1170" w:type="pct"/>
            <w:vAlign w:val="center"/>
          </w:tcPr>
          <w:p w14:paraId="4B7FDEE0" w14:textId="426DCF49" w:rsidR="008E5142" w:rsidRDefault="008E5142" w:rsidP="008E5142">
            <w:pPr>
              <w:pStyle w:val="BodyText"/>
              <w:jc w:val="center"/>
            </w:pPr>
            <w:r>
              <w:t>Under Govt. approval  stage</w:t>
            </w:r>
          </w:p>
        </w:tc>
      </w:tr>
      <w:tr w:rsidR="008E5142" w:rsidRPr="00966ECA" w14:paraId="7A7D33FA" w14:textId="77777777" w:rsidTr="008E5142">
        <w:trPr>
          <w:trHeight w:val="624"/>
        </w:trPr>
        <w:tc>
          <w:tcPr>
            <w:tcW w:w="364" w:type="pct"/>
            <w:vAlign w:val="center"/>
          </w:tcPr>
          <w:p w14:paraId="4899E8ED" w14:textId="545DF6DB" w:rsidR="008E5142" w:rsidRDefault="008E5142" w:rsidP="008E5142">
            <w:pPr>
              <w:pStyle w:val="BodyText"/>
              <w:jc w:val="center"/>
            </w:pPr>
            <w:r>
              <w:t>9</w:t>
            </w:r>
          </w:p>
        </w:tc>
        <w:tc>
          <w:tcPr>
            <w:tcW w:w="941" w:type="pct"/>
            <w:vAlign w:val="center"/>
          </w:tcPr>
          <w:p w14:paraId="5389B778" w14:textId="1FB1292A" w:rsidR="008E5142" w:rsidRPr="00966ECA" w:rsidRDefault="008E5142" w:rsidP="008E5142">
            <w:pPr>
              <w:pStyle w:val="BodyText"/>
              <w:jc w:val="center"/>
            </w:pPr>
            <w:r w:rsidRPr="00496D8C">
              <w:rPr>
                <w:lang w:eastAsia="en-IN"/>
              </w:rPr>
              <w:t>Solar</w:t>
            </w:r>
          </w:p>
        </w:tc>
        <w:tc>
          <w:tcPr>
            <w:tcW w:w="1824" w:type="pct"/>
            <w:vAlign w:val="center"/>
          </w:tcPr>
          <w:p w14:paraId="65505B98" w14:textId="6A84E262" w:rsidR="008E5142" w:rsidRPr="00966ECA" w:rsidRDefault="008E5142" w:rsidP="008E5142">
            <w:pPr>
              <w:pStyle w:val="BodyText"/>
              <w:jc w:val="center"/>
            </w:pPr>
            <w:proofErr w:type="spellStart"/>
            <w:r w:rsidRPr="00496D8C">
              <w:rPr>
                <w:lang w:eastAsia="en-IN"/>
              </w:rPr>
              <w:t>Neemuch</w:t>
            </w:r>
            <w:proofErr w:type="spellEnd"/>
            <w:r w:rsidRPr="00496D8C">
              <w:rPr>
                <w:lang w:eastAsia="en-IN"/>
              </w:rPr>
              <w:t>, Madhya Pradesh</w:t>
            </w:r>
          </w:p>
        </w:tc>
        <w:tc>
          <w:tcPr>
            <w:tcW w:w="701" w:type="pct"/>
            <w:vAlign w:val="center"/>
          </w:tcPr>
          <w:p w14:paraId="56D6D0BA" w14:textId="06EDB74D" w:rsidR="008E5142" w:rsidRPr="00966ECA" w:rsidRDefault="008E5142" w:rsidP="008E5142">
            <w:pPr>
              <w:pStyle w:val="BodyText"/>
              <w:jc w:val="center"/>
            </w:pPr>
            <w:r w:rsidRPr="00496D8C">
              <w:rPr>
                <w:lang w:eastAsia="en-IN"/>
              </w:rPr>
              <w:t>200</w:t>
            </w:r>
          </w:p>
        </w:tc>
        <w:tc>
          <w:tcPr>
            <w:tcW w:w="1170" w:type="pct"/>
            <w:vAlign w:val="center"/>
          </w:tcPr>
          <w:p w14:paraId="0A1248BD" w14:textId="09B5EEC0" w:rsidR="008E5142" w:rsidRDefault="008E5142" w:rsidP="008E5142">
            <w:pPr>
              <w:pStyle w:val="BodyText"/>
              <w:jc w:val="center"/>
            </w:pPr>
            <w:r>
              <w:t>Under Govt. approval  stage</w:t>
            </w:r>
          </w:p>
        </w:tc>
      </w:tr>
    </w:tbl>
    <w:p w14:paraId="0DCB4952" w14:textId="77777777" w:rsidR="00E31FCD" w:rsidRDefault="00426DD5">
      <w:pPr>
        <w:pStyle w:val="Heading1"/>
        <w:numPr>
          <w:ilvl w:val="0"/>
          <w:numId w:val="2"/>
        </w:numPr>
        <w:tabs>
          <w:tab w:val="left" w:pos="861"/>
        </w:tabs>
        <w:spacing w:before="259"/>
        <w:ind w:hanging="361"/>
        <w:jc w:val="both"/>
      </w:pPr>
      <w:r>
        <w:t>Project</w:t>
      </w:r>
      <w:r>
        <w:rPr>
          <w:spacing w:val="-4"/>
        </w:rPr>
        <w:t xml:space="preserve"> </w:t>
      </w:r>
      <w:r>
        <w:t>Management</w:t>
      </w:r>
      <w:r>
        <w:rPr>
          <w:spacing w:val="-2"/>
        </w:rPr>
        <w:t xml:space="preserve"> </w:t>
      </w:r>
      <w:r>
        <w:t>Consultancy</w:t>
      </w:r>
    </w:p>
    <w:p w14:paraId="4BAA5F72" w14:textId="22B64185" w:rsidR="00E472FE" w:rsidRPr="00E472FE" w:rsidRDefault="00E472FE" w:rsidP="00E472FE">
      <w:pPr>
        <w:pStyle w:val="BodyText"/>
        <w:spacing w:before="154" w:line="360" w:lineRule="auto"/>
        <w:ind w:left="140" w:right="18"/>
        <w:jc w:val="both"/>
      </w:pPr>
      <w:r w:rsidRPr="00E472FE">
        <w:t xml:space="preserve">SECI also offers project management consultancy (PMC) services to other Govt. agencies/PSUs/Private entities for RE projects including project conceptualization, Detailed Project Report (DPR) preparation, </w:t>
      </w:r>
      <w:proofErr w:type="gramStart"/>
      <w:r w:rsidRPr="00E472FE">
        <w:t>tender</w:t>
      </w:r>
      <w:proofErr w:type="gramEnd"/>
      <w:r w:rsidRPr="00E472FE">
        <w:t xml:space="preserve"> documents preparation and bid management, construction management and commissioning.</w:t>
      </w:r>
      <w:r w:rsidR="005E744F">
        <w:t xml:space="preserve"> Under PMC services more than 38</w:t>
      </w:r>
      <w:r w:rsidRPr="00E472FE">
        <w:t>0 MW capacit</w:t>
      </w:r>
      <w:r w:rsidR="00917045">
        <w:t xml:space="preserve">y has been commissioned by SECI. </w:t>
      </w:r>
      <w:r w:rsidRPr="00E472FE">
        <w:t xml:space="preserve">Major completed projects include 50 MW project for Indian Renewable Energy Development Agency (IREDA), 50 MW for THDC, 16 MW for Bharat Electronics Limited (BEL), 10 MW for Bharat Dynamics Limited (BDL) and 224 MW for </w:t>
      </w:r>
      <w:proofErr w:type="spellStart"/>
      <w:r w:rsidRPr="00E472FE">
        <w:t>Singareni</w:t>
      </w:r>
      <w:proofErr w:type="spellEnd"/>
      <w:r w:rsidRPr="00E472FE">
        <w:t xml:space="preserve"> Collieries Company Limited (SCCL).</w:t>
      </w:r>
    </w:p>
    <w:p w14:paraId="0AB2CB70" w14:textId="621C7519" w:rsidR="00E31FCD" w:rsidRPr="0012078E" w:rsidRDefault="00426DD5" w:rsidP="00E472FE">
      <w:pPr>
        <w:pStyle w:val="Heading1"/>
        <w:numPr>
          <w:ilvl w:val="0"/>
          <w:numId w:val="2"/>
        </w:numPr>
        <w:tabs>
          <w:tab w:val="left" w:pos="861"/>
        </w:tabs>
        <w:spacing w:before="89"/>
      </w:pPr>
      <w:r w:rsidRPr="0012078E">
        <w:lastRenderedPageBreak/>
        <w:t>Power</w:t>
      </w:r>
      <w:r w:rsidRPr="0012078E">
        <w:rPr>
          <w:spacing w:val="-2"/>
        </w:rPr>
        <w:t xml:space="preserve"> </w:t>
      </w:r>
      <w:r w:rsidRPr="0012078E">
        <w:t>Trading</w:t>
      </w:r>
    </w:p>
    <w:p w14:paraId="083337F2" w14:textId="77777777" w:rsidR="00E31FCD" w:rsidRDefault="00E31FCD">
      <w:pPr>
        <w:pStyle w:val="BodyText"/>
        <w:spacing w:before="9"/>
        <w:rPr>
          <w:b/>
          <w:sz w:val="23"/>
        </w:rPr>
      </w:pPr>
    </w:p>
    <w:p w14:paraId="453649A8" w14:textId="4BCCD33F" w:rsidR="004556F3" w:rsidRDefault="004556F3" w:rsidP="004556F3">
      <w:pPr>
        <w:pStyle w:val="BodyText"/>
        <w:spacing w:before="154" w:line="360" w:lineRule="auto"/>
        <w:ind w:left="140" w:right="18"/>
        <w:jc w:val="both"/>
      </w:pPr>
      <w:r w:rsidRPr="004556F3">
        <w:t xml:space="preserve">SECI is a Category-1 licensee for trading of power on pan-India basis. It is the power procurement intermediary for projects being set up through its tenders, procuring power from developers and selling to </w:t>
      </w:r>
      <w:proofErr w:type="spellStart"/>
      <w:r w:rsidRPr="004556F3">
        <w:t>Discoms</w:t>
      </w:r>
      <w:proofErr w:type="spellEnd"/>
      <w:r w:rsidRPr="004556F3">
        <w:t xml:space="preserve"> though long term PPAs/PSAs. SECI is the premier trader of RE power in the country.</w:t>
      </w:r>
      <w:r w:rsidR="005E744F">
        <w:t xml:space="preserve"> It has cumulatively signed </w:t>
      </w:r>
      <w:r w:rsidRPr="004556F3">
        <w:t>PSAs of more than 5</w:t>
      </w:r>
      <w:r w:rsidR="0069046C">
        <w:t>4</w:t>
      </w:r>
      <w:r w:rsidR="005E744F">
        <w:t>623</w:t>
      </w:r>
      <w:r w:rsidRPr="004556F3">
        <w:t xml:space="preserve">.64 </w:t>
      </w:r>
      <w:r>
        <w:t>MW (as on 3</w:t>
      </w:r>
      <w:r w:rsidR="005E744F">
        <w:t>0.06</w:t>
      </w:r>
      <w:r>
        <w:t>.</w:t>
      </w:r>
      <w:r w:rsidRPr="004556F3">
        <w:t>202</w:t>
      </w:r>
      <w:r w:rsidR="005E744F">
        <w:t>4</w:t>
      </w:r>
      <w:r w:rsidRPr="004556F3">
        <w:t>).</w:t>
      </w:r>
    </w:p>
    <w:p w14:paraId="093E398E" w14:textId="4EB4880C" w:rsidR="00863CA8" w:rsidRDefault="00863CA8" w:rsidP="00966ECA">
      <w:pPr>
        <w:ind w:left="180"/>
        <w:rPr>
          <w:rFonts w:ascii="Calibri"/>
          <w:sz w:val="24"/>
        </w:rPr>
      </w:pPr>
      <w:r w:rsidRPr="002C5060">
        <w:rPr>
          <w:noProof/>
          <w:lang w:val="en-IN" w:eastAsia="en-IN"/>
        </w:rPr>
        <w:drawing>
          <wp:inline distT="0" distB="0" distL="0" distR="0" wp14:anchorId="5CCDEB6D" wp14:editId="6155AB05">
            <wp:extent cx="5862596" cy="3561715"/>
            <wp:effectExtent l="0" t="0" r="5080" b="635"/>
            <wp:docPr id="145" name="Chart 1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E035D9" w14:textId="77777777" w:rsidR="00F95E4B" w:rsidRDefault="00F95E4B" w:rsidP="00966ECA">
      <w:pPr>
        <w:ind w:left="180"/>
        <w:rPr>
          <w:rFonts w:ascii="Calibri"/>
          <w:sz w:val="24"/>
        </w:rPr>
      </w:pPr>
    </w:p>
    <w:p w14:paraId="7FEFA136" w14:textId="77777777" w:rsidR="00F95E4B" w:rsidRDefault="00F95E4B" w:rsidP="00966ECA">
      <w:pPr>
        <w:ind w:left="180"/>
        <w:rPr>
          <w:rFonts w:ascii="Calibri"/>
          <w:sz w:val="24"/>
        </w:rPr>
        <w:sectPr w:rsidR="00F95E4B" w:rsidSect="00822C42">
          <w:footerReference w:type="default" r:id="rId9"/>
          <w:pgSz w:w="12240" w:h="15840"/>
          <w:pgMar w:top="1500" w:right="1300" w:bottom="1020" w:left="1300" w:header="0" w:footer="838" w:gutter="0"/>
          <w:cols w:space="720"/>
        </w:sectPr>
      </w:pPr>
    </w:p>
    <w:p w14:paraId="3332BAB4" w14:textId="1B5F8697" w:rsidR="007A1B18" w:rsidRPr="00FC0DE6" w:rsidRDefault="007A1B18" w:rsidP="00FC0DE6">
      <w:pPr>
        <w:pStyle w:val="ListParagraph"/>
        <w:numPr>
          <w:ilvl w:val="0"/>
          <w:numId w:val="3"/>
        </w:numPr>
        <w:spacing w:before="221"/>
        <w:rPr>
          <w:b/>
          <w:sz w:val="28"/>
        </w:rPr>
      </w:pPr>
      <w:r w:rsidRPr="00FC0DE6">
        <w:rPr>
          <w:b/>
          <w:sz w:val="28"/>
        </w:rPr>
        <w:lastRenderedPageBreak/>
        <w:t xml:space="preserve">FINANCIAL PERFORMANCE </w:t>
      </w:r>
    </w:p>
    <w:p w14:paraId="3C31551F" w14:textId="61C641A0" w:rsidR="007A1B18" w:rsidRPr="007A1B18" w:rsidRDefault="007A1B18" w:rsidP="007A1B18">
      <w:pPr>
        <w:spacing w:before="120" w:after="120" w:line="360" w:lineRule="auto"/>
        <w:jc w:val="both"/>
        <w:rPr>
          <w:sz w:val="28"/>
          <w:szCs w:val="28"/>
        </w:rPr>
      </w:pPr>
      <w:r w:rsidRPr="007A1B18">
        <w:rPr>
          <w:sz w:val="28"/>
          <w:szCs w:val="28"/>
        </w:rPr>
        <w:t xml:space="preserve">SECI has an authorized share capital of Rs. 2000 Cr. of which the paid up share capital is Rs. 1354 Cr. </w:t>
      </w:r>
    </w:p>
    <w:p w14:paraId="4B9B55E9" w14:textId="274F8824" w:rsidR="007A1B18" w:rsidRDefault="007A1B18" w:rsidP="007A1B18">
      <w:pPr>
        <w:spacing w:before="120" w:after="120" w:line="360" w:lineRule="auto"/>
        <w:jc w:val="both"/>
        <w:rPr>
          <w:sz w:val="28"/>
          <w:szCs w:val="28"/>
        </w:rPr>
      </w:pPr>
      <w:r w:rsidRPr="007A1B18">
        <w:rPr>
          <w:sz w:val="28"/>
          <w:szCs w:val="28"/>
        </w:rPr>
        <w:t xml:space="preserve">SECI </w:t>
      </w:r>
      <w:r w:rsidR="00077676" w:rsidRPr="00077676">
        <w:rPr>
          <w:sz w:val="28"/>
          <w:szCs w:val="28"/>
        </w:rPr>
        <w:t>is a profit-making company since the year 2014-15. The company has demonstrated steady growth every year, both in terms of Rev</w:t>
      </w:r>
      <w:r w:rsidR="009D4004">
        <w:rPr>
          <w:sz w:val="28"/>
          <w:szCs w:val="28"/>
        </w:rPr>
        <w:t>enue and Profits. For FY 2023-24</w:t>
      </w:r>
      <w:r w:rsidR="00077676" w:rsidRPr="00077676">
        <w:rPr>
          <w:sz w:val="28"/>
          <w:szCs w:val="28"/>
        </w:rPr>
        <w:t>, the company’s Reven</w:t>
      </w:r>
      <w:r w:rsidR="009D4004">
        <w:rPr>
          <w:sz w:val="28"/>
          <w:szCs w:val="28"/>
        </w:rPr>
        <w:t xml:space="preserve">ue from Operations is </w:t>
      </w:r>
      <w:proofErr w:type="spellStart"/>
      <w:r w:rsidR="009D4004">
        <w:rPr>
          <w:sz w:val="28"/>
          <w:szCs w:val="28"/>
        </w:rPr>
        <w:t>Rs</w:t>
      </w:r>
      <w:proofErr w:type="spellEnd"/>
      <w:r w:rsidR="009D4004">
        <w:rPr>
          <w:sz w:val="28"/>
          <w:szCs w:val="28"/>
        </w:rPr>
        <w:t>. 13035.</w:t>
      </w:r>
      <w:r w:rsidR="006406A1">
        <w:rPr>
          <w:sz w:val="28"/>
          <w:szCs w:val="28"/>
        </w:rPr>
        <w:t xml:space="preserve">07 </w:t>
      </w:r>
      <w:r w:rsidR="00077676" w:rsidRPr="00077676">
        <w:rPr>
          <w:sz w:val="28"/>
          <w:szCs w:val="28"/>
        </w:rPr>
        <w:t>Cr</w:t>
      </w:r>
      <w:r w:rsidR="009D4004">
        <w:rPr>
          <w:sz w:val="28"/>
          <w:szCs w:val="28"/>
        </w:rPr>
        <w:t xml:space="preserve"> (Prov.) and its PBT is </w:t>
      </w:r>
      <w:proofErr w:type="spellStart"/>
      <w:r w:rsidR="009D4004">
        <w:rPr>
          <w:sz w:val="28"/>
          <w:szCs w:val="28"/>
        </w:rPr>
        <w:t>Rs</w:t>
      </w:r>
      <w:proofErr w:type="spellEnd"/>
      <w:r w:rsidR="009D4004">
        <w:rPr>
          <w:sz w:val="28"/>
          <w:szCs w:val="28"/>
        </w:rPr>
        <w:t>. 584.45</w:t>
      </w:r>
      <w:r w:rsidR="00077676" w:rsidRPr="00077676">
        <w:rPr>
          <w:sz w:val="28"/>
          <w:szCs w:val="28"/>
        </w:rPr>
        <w:t xml:space="preserve"> Cr.</w:t>
      </w:r>
    </w:p>
    <w:p w14:paraId="59FCB929" w14:textId="034AFA11" w:rsidR="00077676" w:rsidRDefault="00077676" w:rsidP="007A1B18">
      <w:pPr>
        <w:spacing w:before="120" w:after="120" w:line="360" w:lineRule="auto"/>
        <w:jc w:val="both"/>
        <w:rPr>
          <w:sz w:val="28"/>
          <w:szCs w:val="28"/>
        </w:rPr>
      </w:pPr>
      <w:r w:rsidRPr="00077676">
        <w:rPr>
          <w:sz w:val="28"/>
          <w:szCs w:val="28"/>
        </w:rPr>
        <w:t xml:space="preserve">Further, Net-worth of the company as on 31.03.2023 is </w:t>
      </w:r>
      <w:proofErr w:type="spellStart"/>
      <w:r w:rsidRPr="00077676">
        <w:rPr>
          <w:sz w:val="28"/>
          <w:szCs w:val="28"/>
        </w:rPr>
        <w:t>Rs</w:t>
      </w:r>
      <w:proofErr w:type="spellEnd"/>
      <w:r w:rsidRPr="00077676">
        <w:rPr>
          <w:sz w:val="28"/>
          <w:szCs w:val="28"/>
        </w:rPr>
        <w:t xml:space="preserve">. </w:t>
      </w:r>
      <w:r w:rsidR="00281FA3" w:rsidRPr="00281FA3">
        <w:rPr>
          <w:sz w:val="28"/>
          <w:szCs w:val="28"/>
        </w:rPr>
        <w:t xml:space="preserve">2,811.76 </w:t>
      </w:r>
      <w:r w:rsidRPr="00077676">
        <w:rPr>
          <w:sz w:val="28"/>
          <w:szCs w:val="28"/>
        </w:rPr>
        <w:t xml:space="preserve">Cr. </w:t>
      </w:r>
    </w:p>
    <w:p w14:paraId="08C3F229" w14:textId="672A8792" w:rsidR="007A1B18" w:rsidRPr="007A1B18" w:rsidRDefault="001B76E7" w:rsidP="007A1B18">
      <w:pPr>
        <w:spacing w:before="120" w:after="120" w:line="360" w:lineRule="auto"/>
        <w:jc w:val="both"/>
        <w:rPr>
          <w:sz w:val="28"/>
          <w:szCs w:val="28"/>
        </w:rPr>
      </w:pPr>
      <w:r w:rsidRPr="003D08F2">
        <w:rPr>
          <w:lang w:val="en-IN"/>
        </w:rPr>
        <w:lastRenderedPageBreak/>
        <w:drawing>
          <wp:anchor distT="0" distB="0" distL="114300" distR="114300" simplePos="0" relativeHeight="487588864" behindDoc="0" locked="0" layoutInCell="1" allowOverlap="1" wp14:anchorId="00317E9F" wp14:editId="58AB76C7">
            <wp:simplePos x="0" y="0"/>
            <wp:positionH relativeFrom="column">
              <wp:posOffset>3446145</wp:posOffset>
            </wp:positionH>
            <wp:positionV relativeFrom="page">
              <wp:posOffset>1243330</wp:posOffset>
            </wp:positionV>
            <wp:extent cx="3115945" cy="3298190"/>
            <wp:effectExtent l="0" t="0" r="8255" b="1651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7A1B18" w:rsidRPr="007A1B18">
        <w:rPr>
          <w:sz w:val="28"/>
          <w:szCs w:val="28"/>
        </w:rPr>
        <w:t xml:space="preserve">SECI </w:t>
      </w:r>
      <w:r w:rsidR="00281FA3">
        <w:rPr>
          <w:sz w:val="28"/>
          <w:szCs w:val="28"/>
        </w:rPr>
        <w:t>has the h</w:t>
      </w:r>
      <w:r w:rsidR="00113CE6">
        <w:rPr>
          <w:sz w:val="28"/>
          <w:szCs w:val="28"/>
        </w:rPr>
        <w:t>ighest c</w:t>
      </w:r>
      <w:r w:rsidR="00281FA3" w:rsidRPr="00281FA3">
        <w:rPr>
          <w:sz w:val="28"/>
          <w:szCs w:val="28"/>
        </w:rPr>
        <w:t>redit rating of [ICRA</w:t>
      </w:r>
      <w:proofErr w:type="gramStart"/>
      <w:r w:rsidR="00281FA3" w:rsidRPr="00281FA3">
        <w:rPr>
          <w:sz w:val="28"/>
          <w:szCs w:val="28"/>
        </w:rPr>
        <w:t>]AAA</w:t>
      </w:r>
      <w:proofErr w:type="gramEnd"/>
      <w:r w:rsidR="00281FA3" w:rsidRPr="00281FA3">
        <w:rPr>
          <w:sz w:val="28"/>
          <w:szCs w:val="28"/>
        </w:rPr>
        <w:t>/ A1+</w:t>
      </w:r>
      <w:r w:rsidR="007A1B18" w:rsidRPr="007A1B18">
        <w:rPr>
          <w:sz w:val="28"/>
          <w:szCs w:val="28"/>
        </w:rPr>
        <w:t>.</w:t>
      </w:r>
    </w:p>
    <w:p w14:paraId="18151BF7" w14:textId="5CCE088A" w:rsidR="003D08F2" w:rsidRDefault="003D08F2" w:rsidP="00077676">
      <w:pPr>
        <w:pStyle w:val="Heading1"/>
        <w:spacing w:before="6"/>
        <w:ind w:left="0"/>
      </w:pPr>
      <w:r w:rsidRPr="003D08F2">
        <w:rPr>
          <w:lang w:val="en-IN"/>
        </w:rPr>
        <w:drawing>
          <wp:inline distT="0" distB="0" distL="0" distR="0" wp14:anchorId="6F3D2D00" wp14:editId="11365D1C">
            <wp:extent cx="3116275" cy="3291840"/>
            <wp:effectExtent l="0" t="0" r="825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5C1F15" w14:textId="2EA62196" w:rsidR="003D08F2" w:rsidRDefault="003D08F2" w:rsidP="00077676">
      <w:pPr>
        <w:pStyle w:val="Heading1"/>
        <w:spacing w:before="6"/>
        <w:ind w:left="0"/>
      </w:pPr>
    </w:p>
    <w:p w14:paraId="58A5CFBD" w14:textId="477C55E3" w:rsidR="00E31FCD" w:rsidRPr="00FC0DE6" w:rsidRDefault="00966ECA" w:rsidP="00FC0DE6">
      <w:pPr>
        <w:pStyle w:val="ListParagraph"/>
        <w:numPr>
          <w:ilvl w:val="0"/>
          <w:numId w:val="3"/>
        </w:numPr>
        <w:spacing w:before="221"/>
        <w:rPr>
          <w:b/>
          <w:sz w:val="28"/>
        </w:rPr>
      </w:pPr>
      <w:r w:rsidRPr="00FC0DE6">
        <w:rPr>
          <w:b/>
          <w:sz w:val="28"/>
        </w:rPr>
        <w:t>NEW INITIATIVES</w:t>
      </w:r>
    </w:p>
    <w:p w14:paraId="6C1F79CC" w14:textId="0316CB6C" w:rsidR="00E31FCD" w:rsidRDefault="00E31FCD">
      <w:pPr>
        <w:pStyle w:val="BodyText"/>
        <w:spacing w:before="6"/>
        <w:rPr>
          <w:b/>
          <w:sz w:val="27"/>
        </w:rPr>
      </w:pPr>
    </w:p>
    <w:p w14:paraId="310B6ADF" w14:textId="7F5E03A1" w:rsidR="00AD2DC8" w:rsidRDefault="00F85791" w:rsidP="00F85791">
      <w:pPr>
        <w:pStyle w:val="BodyText"/>
        <w:spacing w:before="154" w:line="360" w:lineRule="auto"/>
        <w:ind w:left="140" w:right="18"/>
        <w:jc w:val="both"/>
      </w:pPr>
      <w:r w:rsidRPr="00F85791">
        <w:t>In line with rapidly evolving RE sector, SECI is foraying into new business initiatives such as PLI scheme, Green Hydrogen &amp; Green Ammonia, Greening Electric Vehicle Charging,</w:t>
      </w:r>
      <w:r w:rsidR="00A32E49">
        <w:t xml:space="preserve"> </w:t>
      </w:r>
      <w:r w:rsidRPr="00F85791">
        <w:t>Energy Storage, supply of RE to Commercial and Industrial (C&amp;I) consumers etc. and engaging with relevant stakeholders.</w:t>
      </w:r>
    </w:p>
    <w:p w14:paraId="1E0FA955" w14:textId="77777777" w:rsidR="00E31FCD" w:rsidRPr="00772E44" w:rsidRDefault="00426DD5" w:rsidP="00772E44">
      <w:pPr>
        <w:spacing w:before="203" w:line="216" w:lineRule="auto"/>
        <w:ind w:right="1"/>
        <w:jc w:val="center"/>
        <w:rPr>
          <w:rFonts w:ascii="Calibri"/>
          <w:sz w:val="30"/>
        </w:rPr>
      </w:pPr>
      <w:r>
        <w:t>*****</w:t>
      </w:r>
    </w:p>
    <w:sectPr w:rsidR="00E31FCD" w:rsidRPr="00772E44" w:rsidSect="00822C42">
      <w:footerReference w:type="default" r:id="rId12"/>
      <w:type w:val="continuous"/>
      <w:pgSz w:w="12240" w:h="15840"/>
      <w:pgMar w:top="1360" w:right="1300" w:bottom="102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38561" w14:textId="77777777" w:rsidR="00FE4432" w:rsidRDefault="00FE4432">
      <w:r>
        <w:separator/>
      </w:r>
    </w:p>
  </w:endnote>
  <w:endnote w:type="continuationSeparator" w:id="0">
    <w:p w14:paraId="3C2D3914" w14:textId="77777777" w:rsidR="00FE4432" w:rsidRDefault="00FE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628B" w14:textId="77777777" w:rsidR="00E31FCD" w:rsidRDefault="002F7DF4">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46E89135" wp14:editId="63178055">
              <wp:simplePos x="0" y="0"/>
              <wp:positionH relativeFrom="page">
                <wp:posOffset>3804285</wp:posOffset>
              </wp:positionH>
              <wp:positionV relativeFrom="page">
                <wp:posOffset>9386570</wp:posOffset>
              </wp:positionV>
              <wp:extent cx="1657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342B" w14:textId="77777777" w:rsidR="00E31FCD" w:rsidRDefault="00426DD5">
                          <w:pPr>
                            <w:pStyle w:val="BodyText"/>
                            <w:spacing w:before="9"/>
                            <w:ind w:left="60"/>
                          </w:pPr>
                          <w:r>
                            <w:fldChar w:fldCharType="begin"/>
                          </w:r>
                          <w:r>
                            <w:instrText xml:space="preserve"> PAGE </w:instrText>
                          </w:r>
                          <w:r>
                            <w:fldChar w:fldCharType="separate"/>
                          </w:r>
                          <w:r w:rsidR="00D55E26">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89135" id="_x0000_t202" coordsize="21600,21600" o:spt="202" path="m,l,21600r21600,l21600,xe">
              <v:stroke joinstyle="miter"/>
              <v:path gradientshapeok="t" o:connecttype="rect"/>
            </v:shapetype>
            <v:shape id="Text Box 1" o:spid="_x0000_s1026" type="#_x0000_t202" style="position:absolute;margin-left:299.55pt;margin-top:739.1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1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CJaXkYYlXAVBEEcRyY3l6Tz414q/Y6KDhkj&#10;wxIab8HJ4U7pyXV2MbG4KFjb2ua3/NkBYE4nEBqemjuThO3lj8RLNvEmDp0wWGyc0Mtz56ZYh86i&#10;8JdRfpmv17n/08T1w7RhVUW5CTPryg//rG9HhU+KOClLiZZVBs6kpORuu24lOhDQdWG/Y0HO3Nzn&#10;adh6AZcXlPwg9G6DxCkW8dIJizBykqUXO56f3CYLL0zCvHhO6Y5x+u+U0JDhJAqiSUu/5ebZ7zU3&#10;knZMw+RoWZfh+OREUqPADa9sazVh7WSflcKk/1QKaPfcaKtXI9FJrHrcjoBiRLwV1SMoVwpQFsgT&#10;xh0YjZDfMRpgdGRYfdsTSTFq33NQv5kzsyFnYzsbhJfwNMMao8lc62ke7XvJdg0gT/8XFzfwh9TM&#10;qvcpC0jdbGAcWBLH0WXmzfneej0N2NUvAAAA//8DAFBLAwQUAAYACAAAACEAurj+LeIAAAANAQAA&#10;DwAAAGRycy9kb3ducmV2LnhtbEyPQU+EMBCF7yb+h2ZMvLkFVnBBymZj9GRiZPHgsdAuNEunSLu7&#10;+O8dT3qbmffy5nvldrEjO+vZG4cC4lUETGPnlMFewEfzcrcB5oNEJUeHWsC39rCtrq9KWSh3wVqf&#10;96FnFIK+kAKGEKaCc98N2kq/cpNG0g5utjLQOvdczfJC4XbkSRRl3EqD9GGQk34adHfcn6yA3SfW&#10;z+brrX2vD7VpmjzC1+woxO3NsnsEFvQS/szwi0/oUBFT606oPBsFpHkek5WE+4dNAowsWZLS0NIp&#10;jddr4FXJ/7eofgAAAP//AwBQSwECLQAUAAYACAAAACEAtoM4kv4AAADhAQAAEwAAAAAAAAAAAAAA&#10;AAAAAAAAW0NvbnRlbnRfVHlwZXNdLnhtbFBLAQItABQABgAIAAAAIQA4/SH/1gAAAJQBAAALAAAA&#10;AAAAAAAAAAAAAC8BAABfcmVscy8ucmVsc1BLAQItABQABgAIAAAAIQDhsiK1qwIAAKgFAAAOAAAA&#10;AAAAAAAAAAAAAC4CAABkcnMvZTJvRG9jLnhtbFBLAQItABQABgAIAAAAIQC6uP4t4gAAAA0BAAAP&#10;AAAAAAAAAAAAAAAAAAUFAABkcnMvZG93bnJldi54bWxQSwUGAAAAAAQABADzAAAAFAYAAAAA&#10;" filled="f" stroked="f">
              <v:textbox inset="0,0,0,0">
                <w:txbxContent>
                  <w:p w14:paraId="17A3342B" w14:textId="77777777" w:rsidR="00E31FCD" w:rsidRDefault="00426DD5">
                    <w:pPr>
                      <w:pStyle w:val="BodyText"/>
                      <w:spacing w:before="9"/>
                      <w:ind w:left="60"/>
                    </w:pPr>
                    <w:r>
                      <w:fldChar w:fldCharType="begin"/>
                    </w:r>
                    <w:r>
                      <w:instrText xml:space="preserve"> PAGE </w:instrText>
                    </w:r>
                    <w:r>
                      <w:fldChar w:fldCharType="separate"/>
                    </w:r>
                    <w:r w:rsidR="00D55E26">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27757"/>
      <w:docPartObj>
        <w:docPartGallery w:val="Page Numbers (Bottom of Page)"/>
        <w:docPartUnique/>
      </w:docPartObj>
    </w:sdtPr>
    <w:sdtEndPr>
      <w:rPr>
        <w:noProof/>
      </w:rPr>
    </w:sdtEndPr>
    <w:sdtContent>
      <w:p w14:paraId="3B1B80AA" w14:textId="77777777" w:rsidR="007A1B18" w:rsidRDefault="007A1B18">
        <w:pPr>
          <w:pStyle w:val="Footer"/>
          <w:jc w:val="center"/>
        </w:pPr>
        <w:r>
          <w:fldChar w:fldCharType="begin"/>
        </w:r>
        <w:r>
          <w:instrText xml:space="preserve"> PAGE   \* MERGEFORMAT </w:instrText>
        </w:r>
        <w:r>
          <w:fldChar w:fldCharType="separate"/>
        </w:r>
        <w:r w:rsidR="000D25F8">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5E4D3" w14:textId="77777777" w:rsidR="00FE4432" w:rsidRDefault="00FE4432">
      <w:r>
        <w:separator/>
      </w:r>
    </w:p>
  </w:footnote>
  <w:footnote w:type="continuationSeparator" w:id="0">
    <w:p w14:paraId="33523DDC" w14:textId="77777777" w:rsidR="00FE4432" w:rsidRDefault="00FE4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122E9"/>
    <w:multiLevelType w:val="hybridMultilevel"/>
    <w:tmpl w:val="D5BE966E"/>
    <w:lvl w:ilvl="0" w:tplc="A49693BC">
      <w:start w:val="1"/>
      <w:numFmt w:val="decimal"/>
      <w:lvlText w:val="%1."/>
      <w:lvlJc w:val="left"/>
      <w:pPr>
        <w:ind w:left="860" w:hanging="360"/>
      </w:pPr>
      <w:rPr>
        <w:rFonts w:ascii="Times New Roman" w:eastAsia="Times New Roman" w:hAnsi="Times New Roman" w:cs="Times New Roman" w:hint="default"/>
        <w:b/>
        <w:bCs/>
        <w:spacing w:val="0"/>
        <w:w w:val="100"/>
        <w:sz w:val="28"/>
        <w:szCs w:val="28"/>
        <w:lang w:val="en-US" w:eastAsia="en-US" w:bidi="ar-SA"/>
      </w:rPr>
    </w:lvl>
    <w:lvl w:ilvl="1" w:tplc="1EBC6DA6">
      <w:numFmt w:val="bullet"/>
      <w:lvlText w:val="•"/>
      <w:lvlJc w:val="left"/>
      <w:pPr>
        <w:ind w:left="1738" w:hanging="360"/>
      </w:pPr>
      <w:rPr>
        <w:rFonts w:hint="default"/>
        <w:lang w:val="en-US" w:eastAsia="en-US" w:bidi="ar-SA"/>
      </w:rPr>
    </w:lvl>
    <w:lvl w:ilvl="2" w:tplc="FA6EE44A">
      <w:numFmt w:val="bullet"/>
      <w:lvlText w:val="•"/>
      <w:lvlJc w:val="left"/>
      <w:pPr>
        <w:ind w:left="2616" w:hanging="360"/>
      </w:pPr>
      <w:rPr>
        <w:rFonts w:hint="default"/>
        <w:lang w:val="en-US" w:eastAsia="en-US" w:bidi="ar-SA"/>
      </w:rPr>
    </w:lvl>
    <w:lvl w:ilvl="3" w:tplc="A48E6D50">
      <w:numFmt w:val="bullet"/>
      <w:lvlText w:val="•"/>
      <w:lvlJc w:val="left"/>
      <w:pPr>
        <w:ind w:left="3494" w:hanging="360"/>
      </w:pPr>
      <w:rPr>
        <w:rFonts w:hint="default"/>
        <w:lang w:val="en-US" w:eastAsia="en-US" w:bidi="ar-SA"/>
      </w:rPr>
    </w:lvl>
    <w:lvl w:ilvl="4" w:tplc="F77E2C40">
      <w:numFmt w:val="bullet"/>
      <w:lvlText w:val="•"/>
      <w:lvlJc w:val="left"/>
      <w:pPr>
        <w:ind w:left="4372" w:hanging="360"/>
      </w:pPr>
      <w:rPr>
        <w:rFonts w:hint="default"/>
        <w:lang w:val="en-US" w:eastAsia="en-US" w:bidi="ar-SA"/>
      </w:rPr>
    </w:lvl>
    <w:lvl w:ilvl="5" w:tplc="0B1EDA24">
      <w:numFmt w:val="bullet"/>
      <w:lvlText w:val="•"/>
      <w:lvlJc w:val="left"/>
      <w:pPr>
        <w:ind w:left="5250" w:hanging="360"/>
      </w:pPr>
      <w:rPr>
        <w:rFonts w:hint="default"/>
        <w:lang w:val="en-US" w:eastAsia="en-US" w:bidi="ar-SA"/>
      </w:rPr>
    </w:lvl>
    <w:lvl w:ilvl="6" w:tplc="461AACB8">
      <w:numFmt w:val="bullet"/>
      <w:lvlText w:val="•"/>
      <w:lvlJc w:val="left"/>
      <w:pPr>
        <w:ind w:left="6128" w:hanging="360"/>
      </w:pPr>
      <w:rPr>
        <w:rFonts w:hint="default"/>
        <w:lang w:val="en-US" w:eastAsia="en-US" w:bidi="ar-SA"/>
      </w:rPr>
    </w:lvl>
    <w:lvl w:ilvl="7" w:tplc="876831EE">
      <w:numFmt w:val="bullet"/>
      <w:lvlText w:val="•"/>
      <w:lvlJc w:val="left"/>
      <w:pPr>
        <w:ind w:left="7006" w:hanging="360"/>
      </w:pPr>
      <w:rPr>
        <w:rFonts w:hint="default"/>
        <w:lang w:val="en-US" w:eastAsia="en-US" w:bidi="ar-SA"/>
      </w:rPr>
    </w:lvl>
    <w:lvl w:ilvl="8" w:tplc="DF3C834E">
      <w:numFmt w:val="bullet"/>
      <w:lvlText w:val="•"/>
      <w:lvlJc w:val="left"/>
      <w:pPr>
        <w:ind w:left="7884" w:hanging="360"/>
      </w:pPr>
      <w:rPr>
        <w:rFonts w:hint="default"/>
        <w:lang w:val="en-US" w:eastAsia="en-US" w:bidi="ar-SA"/>
      </w:rPr>
    </w:lvl>
  </w:abstractNum>
  <w:abstractNum w:abstractNumId="1">
    <w:nsid w:val="4A9C058F"/>
    <w:multiLevelType w:val="hybridMultilevel"/>
    <w:tmpl w:val="46B85CCA"/>
    <w:lvl w:ilvl="0" w:tplc="73B0B9B8">
      <w:start w:val="1"/>
      <w:numFmt w:val="upperRoman"/>
      <w:lvlText w:val="%1."/>
      <w:lvlJc w:val="left"/>
      <w:pPr>
        <w:ind w:left="860" w:hanging="72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2">
    <w:nsid w:val="7B6A68E0"/>
    <w:multiLevelType w:val="hybridMultilevel"/>
    <w:tmpl w:val="746E2326"/>
    <w:lvl w:ilvl="0" w:tplc="D82A4A36">
      <w:numFmt w:val="bullet"/>
      <w:lvlText w:val=""/>
      <w:lvlJc w:val="left"/>
      <w:pPr>
        <w:ind w:left="860" w:hanging="360"/>
      </w:pPr>
      <w:rPr>
        <w:rFonts w:ascii="Symbol" w:eastAsia="Symbol" w:hAnsi="Symbol" w:cs="Symbol" w:hint="default"/>
        <w:w w:val="100"/>
        <w:sz w:val="28"/>
        <w:szCs w:val="28"/>
        <w:lang w:val="en-US" w:eastAsia="en-US" w:bidi="ar-SA"/>
      </w:rPr>
    </w:lvl>
    <w:lvl w:ilvl="1" w:tplc="8DA45330">
      <w:numFmt w:val="bullet"/>
      <w:lvlText w:val="•"/>
      <w:lvlJc w:val="left"/>
      <w:pPr>
        <w:ind w:left="1738" w:hanging="360"/>
      </w:pPr>
      <w:rPr>
        <w:rFonts w:hint="default"/>
        <w:lang w:val="en-US" w:eastAsia="en-US" w:bidi="ar-SA"/>
      </w:rPr>
    </w:lvl>
    <w:lvl w:ilvl="2" w:tplc="D2826122">
      <w:numFmt w:val="bullet"/>
      <w:lvlText w:val="•"/>
      <w:lvlJc w:val="left"/>
      <w:pPr>
        <w:ind w:left="2616" w:hanging="360"/>
      </w:pPr>
      <w:rPr>
        <w:rFonts w:hint="default"/>
        <w:lang w:val="en-US" w:eastAsia="en-US" w:bidi="ar-SA"/>
      </w:rPr>
    </w:lvl>
    <w:lvl w:ilvl="3" w:tplc="D18681EE">
      <w:numFmt w:val="bullet"/>
      <w:lvlText w:val="•"/>
      <w:lvlJc w:val="left"/>
      <w:pPr>
        <w:ind w:left="3494" w:hanging="360"/>
      </w:pPr>
      <w:rPr>
        <w:rFonts w:hint="default"/>
        <w:lang w:val="en-US" w:eastAsia="en-US" w:bidi="ar-SA"/>
      </w:rPr>
    </w:lvl>
    <w:lvl w:ilvl="4" w:tplc="09BA88EC">
      <w:numFmt w:val="bullet"/>
      <w:lvlText w:val="•"/>
      <w:lvlJc w:val="left"/>
      <w:pPr>
        <w:ind w:left="4372" w:hanging="360"/>
      </w:pPr>
      <w:rPr>
        <w:rFonts w:hint="default"/>
        <w:lang w:val="en-US" w:eastAsia="en-US" w:bidi="ar-SA"/>
      </w:rPr>
    </w:lvl>
    <w:lvl w:ilvl="5" w:tplc="4FC47E94">
      <w:numFmt w:val="bullet"/>
      <w:lvlText w:val="•"/>
      <w:lvlJc w:val="left"/>
      <w:pPr>
        <w:ind w:left="5250" w:hanging="360"/>
      </w:pPr>
      <w:rPr>
        <w:rFonts w:hint="default"/>
        <w:lang w:val="en-US" w:eastAsia="en-US" w:bidi="ar-SA"/>
      </w:rPr>
    </w:lvl>
    <w:lvl w:ilvl="6" w:tplc="7870E208">
      <w:numFmt w:val="bullet"/>
      <w:lvlText w:val="•"/>
      <w:lvlJc w:val="left"/>
      <w:pPr>
        <w:ind w:left="6128" w:hanging="360"/>
      </w:pPr>
      <w:rPr>
        <w:rFonts w:hint="default"/>
        <w:lang w:val="en-US" w:eastAsia="en-US" w:bidi="ar-SA"/>
      </w:rPr>
    </w:lvl>
    <w:lvl w:ilvl="7" w:tplc="E9702046">
      <w:numFmt w:val="bullet"/>
      <w:lvlText w:val="•"/>
      <w:lvlJc w:val="left"/>
      <w:pPr>
        <w:ind w:left="7006" w:hanging="360"/>
      </w:pPr>
      <w:rPr>
        <w:rFonts w:hint="default"/>
        <w:lang w:val="en-US" w:eastAsia="en-US" w:bidi="ar-SA"/>
      </w:rPr>
    </w:lvl>
    <w:lvl w:ilvl="8" w:tplc="8FFE98C6">
      <w:numFmt w:val="bullet"/>
      <w:lvlText w:val="•"/>
      <w:lvlJc w:val="left"/>
      <w:pPr>
        <w:ind w:left="7884"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CD"/>
    <w:rsid w:val="00002749"/>
    <w:rsid w:val="00007E5F"/>
    <w:rsid w:val="00051B09"/>
    <w:rsid w:val="00076228"/>
    <w:rsid w:val="00077676"/>
    <w:rsid w:val="000C4265"/>
    <w:rsid w:val="000D25F8"/>
    <w:rsid w:val="000D5364"/>
    <w:rsid w:val="001004AB"/>
    <w:rsid w:val="00113CE6"/>
    <w:rsid w:val="0012078E"/>
    <w:rsid w:val="00122EB1"/>
    <w:rsid w:val="00146C1F"/>
    <w:rsid w:val="001A4578"/>
    <w:rsid w:val="001B1092"/>
    <w:rsid w:val="001B76E7"/>
    <w:rsid w:val="00213FF8"/>
    <w:rsid w:val="002310F2"/>
    <w:rsid w:val="0023209C"/>
    <w:rsid w:val="00252620"/>
    <w:rsid w:val="00281FA3"/>
    <w:rsid w:val="00283B22"/>
    <w:rsid w:val="002F7DF4"/>
    <w:rsid w:val="003510B9"/>
    <w:rsid w:val="003931C9"/>
    <w:rsid w:val="003C67C6"/>
    <w:rsid w:val="003D08F2"/>
    <w:rsid w:val="003D4113"/>
    <w:rsid w:val="00422C97"/>
    <w:rsid w:val="00426DD5"/>
    <w:rsid w:val="00436D12"/>
    <w:rsid w:val="004556F3"/>
    <w:rsid w:val="004562C0"/>
    <w:rsid w:val="004A102A"/>
    <w:rsid w:val="004F4910"/>
    <w:rsid w:val="00504643"/>
    <w:rsid w:val="0051309A"/>
    <w:rsid w:val="005443E8"/>
    <w:rsid w:val="00571059"/>
    <w:rsid w:val="0058331E"/>
    <w:rsid w:val="005A1649"/>
    <w:rsid w:val="005A6EC3"/>
    <w:rsid w:val="005E744F"/>
    <w:rsid w:val="006406A1"/>
    <w:rsid w:val="00652508"/>
    <w:rsid w:val="00660ED4"/>
    <w:rsid w:val="0069046C"/>
    <w:rsid w:val="006B5852"/>
    <w:rsid w:val="0074133A"/>
    <w:rsid w:val="00766E2A"/>
    <w:rsid w:val="00772E44"/>
    <w:rsid w:val="0077775E"/>
    <w:rsid w:val="007A1B18"/>
    <w:rsid w:val="007A1DE0"/>
    <w:rsid w:val="007A3EBF"/>
    <w:rsid w:val="007F35A6"/>
    <w:rsid w:val="007F4950"/>
    <w:rsid w:val="007F6DCA"/>
    <w:rsid w:val="008043FC"/>
    <w:rsid w:val="00822C42"/>
    <w:rsid w:val="00850AE9"/>
    <w:rsid w:val="00863CA8"/>
    <w:rsid w:val="00872825"/>
    <w:rsid w:val="008A5B76"/>
    <w:rsid w:val="008C7DF2"/>
    <w:rsid w:val="008E5142"/>
    <w:rsid w:val="008F3810"/>
    <w:rsid w:val="008F67C5"/>
    <w:rsid w:val="00917045"/>
    <w:rsid w:val="0093653F"/>
    <w:rsid w:val="009409A9"/>
    <w:rsid w:val="00941815"/>
    <w:rsid w:val="00966ECA"/>
    <w:rsid w:val="00986512"/>
    <w:rsid w:val="00991AD1"/>
    <w:rsid w:val="009970C2"/>
    <w:rsid w:val="009A54C9"/>
    <w:rsid w:val="009B032D"/>
    <w:rsid w:val="009D4004"/>
    <w:rsid w:val="009F0ACD"/>
    <w:rsid w:val="00A024CC"/>
    <w:rsid w:val="00A30E96"/>
    <w:rsid w:val="00A32E49"/>
    <w:rsid w:val="00A67941"/>
    <w:rsid w:val="00A85273"/>
    <w:rsid w:val="00AA3977"/>
    <w:rsid w:val="00AD2DC8"/>
    <w:rsid w:val="00B06528"/>
    <w:rsid w:val="00B10EA1"/>
    <w:rsid w:val="00B34763"/>
    <w:rsid w:val="00B86082"/>
    <w:rsid w:val="00BA1E09"/>
    <w:rsid w:val="00BB0025"/>
    <w:rsid w:val="00BD5CC7"/>
    <w:rsid w:val="00BE3FFD"/>
    <w:rsid w:val="00BF3EFE"/>
    <w:rsid w:val="00C7599C"/>
    <w:rsid w:val="00CC352B"/>
    <w:rsid w:val="00CD5001"/>
    <w:rsid w:val="00CE4AA0"/>
    <w:rsid w:val="00CF1D73"/>
    <w:rsid w:val="00CF2A16"/>
    <w:rsid w:val="00D01FD2"/>
    <w:rsid w:val="00D55E26"/>
    <w:rsid w:val="00DA573B"/>
    <w:rsid w:val="00DA7639"/>
    <w:rsid w:val="00DB5BF7"/>
    <w:rsid w:val="00DE526E"/>
    <w:rsid w:val="00E00EF8"/>
    <w:rsid w:val="00E31FCD"/>
    <w:rsid w:val="00E472FE"/>
    <w:rsid w:val="00E71AD1"/>
    <w:rsid w:val="00E71D99"/>
    <w:rsid w:val="00ED64B6"/>
    <w:rsid w:val="00EE65D9"/>
    <w:rsid w:val="00F110B1"/>
    <w:rsid w:val="00F1169E"/>
    <w:rsid w:val="00F130C1"/>
    <w:rsid w:val="00F606D1"/>
    <w:rsid w:val="00F61E5F"/>
    <w:rsid w:val="00F62A34"/>
    <w:rsid w:val="00F72235"/>
    <w:rsid w:val="00F80FD8"/>
    <w:rsid w:val="00F85791"/>
    <w:rsid w:val="00F95E4B"/>
    <w:rsid w:val="00FB3865"/>
    <w:rsid w:val="00FC0DE6"/>
    <w:rsid w:val="00FC3A62"/>
    <w:rsid w:val="00FE4432"/>
    <w:rsid w:val="00FF67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92B50"/>
  <w15:docId w15:val="{2608A157-9AB2-419C-9D46-A64D8B05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14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
      <w:ind w:left="860" w:hanging="361"/>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A1B18"/>
    <w:pPr>
      <w:widowControl/>
      <w:tabs>
        <w:tab w:val="center" w:pos="4680"/>
        <w:tab w:val="right" w:pos="9360"/>
      </w:tabs>
      <w:autoSpaceDE/>
      <w:autoSpaceDN/>
    </w:pPr>
    <w:rPr>
      <w:rFonts w:eastAsiaTheme="minorHAnsi"/>
      <w:sz w:val="28"/>
      <w:szCs w:val="28"/>
    </w:rPr>
  </w:style>
  <w:style w:type="character" w:customStyle="1" w:styleId="FooterChar">
    <w:name w:val="Footer Char"/>
    <w:basedOn w:val="DefaultParagraphFont"/>
    <w:link w:val="Footer"/>
    <w:uiPriority w:val="99"/>
    <w:rsid w:val="007A1B18"/>
    <w:rPr>
      <w:rFonts w:ascii="Times New Roman" w:hAnsi="Times New Roman" w:cs="Times New Roman"/>
      <w:sz w:val="28"/>
      <w:szCs w:val="28"/>
    </w:rPr>
  </w:style>
  <w:style w:type="character" w:customStyle="1" w:styleId="BodyTextChar">
    <w:name w:val="Body Text Char"/>
    <w:basedOn w:val="DefaultParagraphFont"/>
    <w:link w:val="BodyText"/>
    <w:uiPriority w:val="1"/>
    <w:rsid w:val="00E472FE"/>
    <w:rPr>
      <w:rFonts w:ascii="Times New Roman" w:eastAsia="Times New Roman" w:hAnsi="Times New Roman" w:cs="Times New Roman"/>
      <w:sz w:val="28"/>
      <w:szCs w:val="28"/>
    </w:rPr>
  </w:style>
  <w:style w:type="table" w:styleId="TableGrid">
    <w:name w:val="Table Grid"/>
    <w:basedOn w:val="TableNormal"/>
    <w:uiPriority w:val="39"/>
    <w:rsid w:val="008E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1753">
      <w:bodyDiv w:val="1"/>
      <w:marLeft w:val="0"/>
      <w:marRight w:val="0"/>
      <w:marTop w:val="0"/>
      <w:marBottom w:val="0"/>
      <w:divBdr>
        <w:top w:val="none" w:sz="0" w:space="0" w:color="auto"/>
        <w:left w:val="none" w:sz="0" w:space="0" w:color="auto"/>
        <w:bottom w:val="none" w:sz="0" w:space="0" w:color="auto"/>
        <w:right w:val="none" w:sz="0" w:space="0" w:color="auto"/>
      </w:divBdr>
    </w:div>
    <w:div w:id="392504884">
      <w:bodyDiv w:val="1"/>
      <w:marLeft w:val="0"/>
      <w:marRight w:val="0"/>
      <w:marTop w:val="0"/>
      <w:marBottom w:val="0"/>
      <w:divBdr>
        <w:top w:val="none" w:sz="0" w:space="0" w:color="auto"/>
        <w:left w:val="none" w:sz="0" w:space="0" w:color="auto"/>
        <w:bottom w:val="none" w:sz="0" w:space="0" w:color="auto"/>
        <w:right w:val="none" w:sz="0" w:space="0" w:color="auto"/>
      </w:divBdr>
    </w:div>
    <w:div w:id="117926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sz="1400" b="0"/>
              <a:t>Trend of Annual Power Trading Volume (Million Units)</a:t>
            </a:r>
          </a:p>
        </c:rich>
      </c:tx>
      <c:overlay val="0"/>
      <c:spPr>
        <a:noFill/>
        <a:ln w="25400">
          <a:noFill/>
        </a:ln>
      </c:spPr>
    </c:title>
    <c:autoTitleDeleted val="0"/>
    <c:plotArea>
      <c:layout/>
      <c:areaChart>
        <c:grouping val="standard"/>
        <c:varyColors val="0"/>
        <c:ser>
          <c:idx val="0"/>
          <c:order val="0"/>
          <c:tx>
            <c:strRef>
              <c:f>Sheet1!$B$1</c:f>
              <c:strCache>
                <c:ptCount val="1"/>
                <c:pt idx="0">
                  <c:v>Units of RE traded</c:v>
                </c:pt>
              </c:strCache>
            </c:strRef>
          </c:tx>
          <c:spPr>
            <a:solidFill>
              <a:srgbClr val="0070C0"/>
            </a:solidFill>
            <a:ln w="25400">
              <a:noFill/>
            </a:ln>
          </c:spPr>
          <c:dLbls>
            <c:dLbl>
              <c:idx val="0"/>
              <c:layout>
                <c:manualLayout>
                  <c:x val="1.6830601585336804E-3"/>
                  <c:y val="-5.84578967930434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A39-4406-89EF-06DD5CF0D593}"/>
                </c:ext>
                <c:ext xmlns:c15="http://schemas.microsoft.com/office/drawing/2012/chart" uri="{CE6537A1-D6FC-4f65-9D91-7224C49458BB}"/>
              </c:extLst>
            </c:dLbl>
            <c:dLbl>
              <c:idx val="1"/>
              <c:layout>
                <c:manualLayout>
                  <c:x val="0"/>
                  <c:y val="-6.57651338921739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39-4406-89EF-06DD5CF0D593}"/>
                </c:ext>
                <c:ext xmlns:c15="http://schemas.microsoft.com/office/drawing/2012/chart" uri="{CE6537A1-D6FC-4f65-9D91-7224C49458BB}"/>
              </c:extLst>
            </c:dLbl>
            <c:dLbl>
              <c:idx val="2"/>
              <c:layout>
                <c:manualLayout>
                  <c:x val="-1.683060158533665E-3"/>
                  <c:y val="-8.03796080904347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A39-4406-89EF-06DD5CF0D593}"/>
                </c:ext>
                <c:ext xmlns:c15="http://schemas.microsoft.com/office/drawing/2012/chart" uri="{CE6537A1-D6FC-4f65-9D91-7224C49458BB}"/>
              </c:extLst>
            </c:dLbl>
            <c:dLbl>
              <c:idx val="3"/>
              <c:layout>
                <c:manualLayout>
                  <c:x val="-3.3661203170673301E-3"/>
                  <c:y val="-0.1023013193878261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39-4406-89EF-06DD5CF0D593}"/>
                </c:ext>
                <c:ext xmlns:c15="http://schemas.microsoft.com/office/drawing/2012/chart" uri="{CE6537A1-D6FC-4f65-9D91-7224C49458BB}"/>
              </c:extLst>
            </c:dLbl>
            <c:dLbl>
              <c:idx val="4"/>
              <c:layout>
                <c:manualLayout>
                  <c:x val="0"/>
                  <c:y val="-0.1121583282210957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A39-4406-89EF-06DD5CF0D593}"/>
                </c:ext>
                <c:ext xmlns:c15="http://schemas.microsoft.com/office/drawing/2012/chart" uri="{CE6537A1-D6FC-4f65-9D91-7224C49458BB}"/>
              </c:extLst>
            </c:dLbl>
            <c:dLbl>
              <c:idx val="5"/>
              <c:layout>
                <c:manualLayout>
                  <c:x val="5.2994377652532676E-3"/>
                  <c:y val="-0.1393160317431349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A39-4406-89EF-06DD5CF0D593}"/>
                </c:ext>
                <c:ext xmlns:c15="http://schemas.microsoft.com/office/drawing/2012/chart" uri="{CE6537A1-D6FC-4f65-9D91-7224C49458BB}"/>
              </c:extLst>
            </c:dLbl>
            <c:dLbl>
              <c:idx val="6"/>
              <c:layout>
                <c:manualLayout>
                  <c:x val="-5.347029844839586E-3"/>
                  <c:y val="-0.1777960898050517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A39-4406-89EF-06DD5CF0D593}"/>
                </c:ext>
                <c:ext xmlns:c15="http://schemas.microsoft.com/office/drawing/2012/chart" uri="{CE6537A1-D6FC-4f65-9D91-7224C49458BB}"/>
              </c:extLst>
            </c:dLbl>
            <c:dLbl>
              <c:idx val="7"/>
              <c:layout>
                <c:manualLayout>
                  <c:x val="-1.0743016416708743E-2"/>
                  <c:y val="-0.230892982734441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29B-4EFB-9A66-FA0819028585}"/>
                </c:ext>
                <c:ext xmlns:c15="http://schemas.microsoft.com/office/drawing/2012/chart" uri="{CE6537A1-D6FC-4f65-9D91-7224C49458BB}"/>
              </c:extLst>
            </c:dLbl>
            <c:dLbl>
              <c:idx val="8"/>
              <c:layout>
                <c:manualLayout>
                  <c:x val="-3.2477926827604246E-2"/>
                  <c:y val="-0.305391644193878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99-4A26-AADF-D7AC76C59CD4}"/>
                </c:ext>
                <c:ext xmlns:c15="http://schemas.microsoft.com/office/drawing/2012/chart" uri="{CE6537A1-D6FC-4f65-9D91-7224C49458BB}"/>
              </c:extLst>
            </c:dLbl>
            <c:dLbl>
              <c:idx val="9"/>
              <c:layout>
                <c:manualLayout>
                  <c:x val="-2.5996533795493933E-2"/>
                  <c:y val="-0.35300410055268316"/>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Sheet1!$A$2:$A$11</c:f>
              <c:strCache>
                <c:ptCount val="10"/>
                <c:pt idx="0">
                  <c:v>2014-15</c:v>
                </c:pt>
                <c:pt idx="1">
                  <c:v>2015-16</c:v>
                </c:pt>
                <c:pt idx="2">
                  <c:v>2016-17</c:v>
                </c:pt>
                <c:pt idx="3">
                  <c:v>2017-18</c:v>
                </c:pt>
                <c:pt idx="4">
                  <c:v>2018-19</c:v>
                </c:pt>
                <c:pt idx="5">
                  <c:v>2019-20</c:v>
                </c:pt>
                <c:pt idx="6">
                  <c:v>2020-21 </c:v>
                </c:pt>
                <c:pt idx="7">
                  <c:v>2021-22</c:v>
                </c:pt>
                <c:pt idx="8">
                  <c:v>2022-23</c:v>
                </c:pt>
                <c:pt idx="9">
                  <c:v>2023-24</c:v>
                </c:pt>
              </c:strCache>
            </c:strRef>
          </c:cat>
          <c:val>
            <c:numRef>
              <c:f>Sheet1!$B$2:$B$11</c:f>
              <c:numCache>
                <c:formatCode>General</c:formatCode>
                <c:ptCount val="10"/>
                <c:pt idx="0">
                  <c:v>9</c:v>
                </c:pt>
                <c:pt idx="1">
                  <c:v>954</c:v>
                </c:pt>
                <c:pt idx="2">
                  <c:v>1235</c:v>
                </c:pt>
                <c:pt idx="3">
                  <c:v>2097</c:v>
                </c:pt>
                <c:pt idx="4">
                  <c:v>6840.83</c:v>
                </c:pt>
                <c:pt idx="5">
                  <c:v>11548.63</c:v>
                </c:pt>
                <c:pt idx="6">
                  <c:v>14819</c:v>
                </c:pt>
                <c:pt idx="7">
                  <c:v>22086</c:v>
                </c:pt>
                <c:pt idx="8">
                  <c:v>35156</c:v>
                </c:pt>
                <c:pt idx="9">
                  <c:v>42935</c:v>
                </c:pt>
              </c:numCache>
            </c:numRef>
          </c:val>
          <c:extLst xmlns:c16r2="http://schemas.microsoft.com/office/drawing/2015/06/chart">
            <c:ext xmlns:c16="http://schemas.microsoft.com/office/drawing/2014/chart" uri="{C3380CC4-5D6E-409C-BE32-E72D297353CC}">
              <c16:uniqueId val="{00000007-CA39-4406-89EF-06DD5CF0D593}"/>
            </c:ext>
          </c:extLst>
        </c:ser>
        <c:dLbls>
          <c:showLegendKey val="0"/>
          <c:showVal val="0"/>
          <c:showCatName val="0"/>
          <c:showSerName val="0"/>
          <c:showPercent val="0"/>
          <c:showBubbleSize val="0"/>
        </c:dLbls>
        <c:axId val="484927664"/>
        <c:axId val="484928840"/>
      </c:areaChart>
      <c:catAx>
        <c:axId val="48492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84928840"/>
        <c:crosses val="autoZero"/>
        <c:auto val="1"/>
        <c:lblAlgn val="ctr"/>
        <c:lblOffset val="100"/>
        <c:noMultiLvlLbl val="0"/>
      </c:catAx>
      <c:valAx>
        <c:axId val="484928840"/>
        <c:scaling>
          <c:orientation val="minMax"/>
        </c:scaling>
        <c:delete val="1"/>
        <c:axPos val="l"/>
        <c:numFmt formatCode="General" sourceLinked="1"/>
        <c:majorTickMark val="out"/>
        <c:minorTickMark val="none"/>
        <c:tickLblPos val="nextTo"/>
        <c:crossAx val="484927664"/>
        <c:crosses val="autoZero"/>
        <c:crossBetween val="between"/>
      </c:valAx>
      <c:spPr>
        <a:noFill/>
        <a:ln w="25400">
          <a:noFill/>
        </a:ln>
      </c:spPr>
    </c:plotArea>
    <c:plotVisOnly val="1"/>
    <c:dispBlanksAs val="gap"/>
    <c:showDLblsOverMax val="0"/>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a:lstStyle/>
          <a:p>
            <a:pPr>
              <a:defRPr sz="1200"/>
            </a:pPr>
            <a:r>
              <a:rPr lang="en-IN" sz="1200" dirty="0" smtClean="0">
                <a:latin typeface="Calibri" panose="020F0502020204030204" pitchFamily="34" charset="0"/>
                <a:ea typeface="Calibri" panose="020F0502020204030204" pitchFamily="34" charset="0"/>
                <a:cs typeface="Calibri" panose="020F0502020204030204" pitchFamily="34" charset="0"/>
              </a:rPr>
              <a:t>PBT (</a:t>
            </a:r>
            <a:r>
              <a:rPr lang="en-IN" sz="1200" dirty="0" err="1" smtClean="0">
                <a:latin typeface="Calibri" panose="020F0502020204030204" pitchFamily="34" charset="0"/>
                <a:ea typeface="Calibri" panose="020F0502020204030204" pitchFamily="34" charset="0"/>
                <a:cs typeface="Calibri" panose="020F0502020204030204" pitchFamily="34" charset="0"/>
              </a:rPr>
              <a:t>Rs</a:t>
            </a:r>
            <a:r>
              <a:rPr lang="en-IN" sz="1200" dirty="0" smtClean="0">
                <a:latin typeface="Calibri" panose="020F0502020204030204" pitchFamily="34" charset="0"/>
                <a:ea typeface="Calibri" panose="020F0502020204030204" pitchFamily="34" charset="0"/>
                <a:cs typeface="Calibri" panose="020F0502020204030204" pitchFamily="34" charset="0"/>
              </a:rPr>
              <a:t>.</a:t>
            </a:r>
            <a:r>
              <a:rPr lang="en-IN" sz="1200" baseline="0" dirty="0" smtClean="0">
                <a:latin typeface="Calibri" panose="020F0502020204030204" pitchFamily="34" charset="0"/>
                <a:ea typeface="Calibri" panose="020F0502020204030204" pitchFamily="34" charset="0"/>
                <a:cs typeface="Calibri" panose="020F0502020204030204" pitchFamily="34" charset="0"/>
              </a:rPr>
              <a:t> Cr.)</a:t>
            </a:r>
            <a:endParaRPr lang="en-IN" sz="1200" dirty="0">
              <a:latin typeface="Calibri" panose="020F0502020204030204" pitchFamily="34" charset="0"/>
              <a:ea typeface="Calibri" panose="020F0502020204030204" pitchFamily="34" charset="0"/>
              <a:cs typeface="Calibri" panose="020F0502020204030204" pitchFamily="34" charset="0"/>
            </a:endParaRPr>
          </a:p>
        </c:rich>
      </c:tx>
      <c:layout>
        <c:manualLayout>
          <c:xMode val="edge"/>
          <c:yMode val="edge"/>
          <c:x val="0.30357291869013381"/>
          <c:y val="5.9213298344361953E-2"/>
        </c:manualLayout>
      </c:layout>
      <c:overlay val="0"/>
    </c:title>
    <c:autoTitleDeleted val="0"/>
    <c:plotArea>
      <c:layout>
        <c:manualLayout>
          <c:layoutTarget val="inner"/>
          <c:xMode val="edge"/>
          <c:yMode val="edge"/>
          <c:x val="2.6866327871640866E-2"/>
          <c:y val="4.0020600889946176E-2"/>
          <c:w val="0.94581098190115676"/>
          <c:h val="0.83995070501334301"/>
        </c:manualLayout>
      </c:layout>
      <c:lineChart>
        <c:grouping val="standard"/>
        <c:varyColors val="0"/>
        <c:ser>
          <c:idx val="0"/>
          <c:order val="0"/>
          <c:tx>
            <c:strRef>
              <c:f>Sheet1!$B$1</c:f>
              <c:strCache>
                <c:ptCount val="1"/>
                <c:pt idx="0">
                  <c:v>PBT</c:v>
                </c:pt>
              </c:strCache>
            </c:strRef>
          </c:tx>
          <c:spPr>
            <a:ln w="19050"/>
          </c:spPr>
          <c:marker>
            <c:symbol val="none"/>
          </c:marker>
          <c:dPt>
            <c:idx val="5"/>
            <c:bubble3D val="0"/>
            <c:spPr>
              <a:ln w="19050">
                <a:prstDash val="sysDash"/>
              </a:ln>
            </c:spPr>
          </c:dPt>
          <c:dLbls>
            <c:dLbl>
              <c:idx val="0"/>
              <c:layout>
                <c:manualLayout>
                  <c:x val="-9.4813611921904906E-2"/>
                  <c:y val="-3.18182584583973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0.11248979041671146"/>
                  <c:y val="-5.41561222503407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2986301106084991"/>
                  <c:y val="-4.24761533969243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257531824213842"/>
                  <c:y val="-3.6093862804817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2986301106084991"/>
                  <c:y val="-1.50634810905596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dirty="0" smtClean="0">
                        <a:solidFill>
                          <a:schemeClr val="tx1"/>
                        </a:solidFill>
                        <a:latin typeface="+mn-lt"/>
                      </a:rPr>
                      <a:t>708.21</a:t>
                    </a:r>
                    <a:endParaRPr lang="en-US" dirty="0">
                      <a:solidFill>
                        <a:schemeClr val="tx1"/>
                      </a:solidFill>
                      <a:latin typeface="+mn-lt"/>
                    </a:endParaRP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solidFill>
                      <a:schemeClr val="tx1"/>
                    </a:solidFill>
                    <a:latin typeface="+mn-l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2019-20</c:v>
                </c:pt>
                <c:pt idx="1">
                  <c:v>2020-21 </c:v>
                </c:pt>
                <c:pt idx="2">
                  <c:v>2021-22 </c:v>
                </c:pt>
                <c:pt idx="3">
                  <c:v>2022-23</c:v>
                </c:pt>
                <c:pt idx="4">
                  <c:v>2023-24
(Prov.)</c:v>
                </c:pt>
              </c:strCache>
            </c:strRef>
          </c:cat>
          <c:val>
            <c:numRef>
              <c:f>Sheet1!$B$2:$B$6</c:f>
              <c:numCache>
                <c:formatCode>General</c:formatCode>
                <c:ptCount val="5"/>
                <c:pt idx="0">
                  <c:v>232.65</c:v>
                </c:pt>
                <c:pt idx="1">
                  <c:v>237.59</c:v>
                </c:pt>
                <c:pt idx="2">
                  <c:v>319.92</c:v>
                </c:pt>
                <c:pt idx="3">
                  <c:v>423.6</c:v>
                </c:pt>
                <c:pt idx="4">
                  <c:v>584.45000000000005</c:v>
                </c:pt>
              </c:numCache>
            </c:numRef>
          </c:val>
          <c:smooth val="0"/>
          <c:extLst xmlns:c16r2="http://schemas.microsoft.com/office/drawing/2015/06/chart">
            <c:ext xmlns:c16="http://schemas.microsoft.com/office/drawing/2014/chart" uri="{C3380CC4-5D6E-409C-BE32-E72D297353CC}">
              <c16:uniqueId val="{00000007-4898-4832-9AC5-4FBD8FEA24E3}"/>
            </c:ext>
          </c:extLst>
        </c:ser>
        <c:dLbls>
          <c:dLblPos val="t"/>
          <c:showLegendKey val="0"/>
          <c:showVal val="1"/>
          <c:showCatName val="0"/>
          <c:showSerName val="0"/>
          <c:showPercent val="0"/>
          <c:showBubbleSize val="0"/>
        </c:dLbls>
        <c:smooth val="0"/>
        <c:axId val="559368384"/>
        <c:axId val="559366816"/>
      </c:lineChart>
      <c:catAx>
        <c:axId val="5593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00"/>
            </a:pPr>
            <a:endParaRPr lang="en-US"/>
          </a:p>
        </c:txPr>
        <c:crossAx val="559366816"/>
        <c:crosses val="autoZero"/>
        <c:auto val="1"/>
        <c:lblAlgn val="ctr"/>
        <c:lblOffset val="100"/>
        <c:noMultiLvlLbl val="0"/>
      </c:catAx>
      <c:valAx>
        <c:axId val="559366816"/>
        <c:scaling>
          <c:orientation val="minMax"/>
        </c:scaling>
        <c:delete val="1"/>
        <c:axPos val="l"/>
        <c:numFmt formatCode="General" sourceLinked="1"/>
        <c:majorTickMark val="none"/>
        <c:minorTickMark val="none"/>
        <c:tickLblPos val="nextTo"/>
        <c:crossAx val="559368384"/>
        <c:crosses val="autoZero"/>
        <c:crossBetween val="between"/>
      </c:valAx>
      <c:spPr>
        <a:noFill/>
        <a:ln w="25400">
          <a:noFill/>
        </a:ln>
      </c:spPr>
    </c:plotArea>
    <c:plotVisOnly val="1"/>
    <c:dispBlanksAs val="gap"/>
    <c:showDLblsOverMax val="0"/>
  </c:chart>
  <c:spPr>
    <a:noFill/>
    <a:ln>
      <a:solidFill>
        <a:sysClr val="windowText" lastClr="000000"/>
      </a:solidFill>
    </a:ln>
  </c:spPr>
  <c:txPr>
    <a:bodyPr/>
    <a:lstStyle/>
    <a:p>
      <a:pPr>
        <a:defRPr sz="10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IN" sz="1100" dirty="0"/>
              <a:t>Revenue from Operations (</a:t>
            </a:r>
            <a:r>
              <a:rPr lang="en-IN" sz="1100" dirty="0" err="1"/>
              <a:t>Rs</a:t>
            </a:r>
            <a:r>
              <a:rPr lang="en-IN" sz="1100" dirty="0"/>
              <a:t>. Cr.)</a:t>
            </a:r>
          </a:p>
        </c:rich>
      </c:tx>
      <c:layout>
        <c:manualLayout>
          <c:xMode val="edge"/>
          <c:yMode val="edge"/>
          <c:x val="3.2484947778574975E-2"/>
          <c:y val="6.9229077967550512E-2"/>
        </c:manualLayout>
      </c:layout>
      <c:overlay val="0"/>
      <c:spPr>
        <a:noFill/>
        <a:ln w="25276">
          <a:noFill/>
        </a:ln>
      </c:spPr>
    </c:title>
    <c:autoTitleDeleted val="0"/>
    <c:plotArea>
      <c:layout>
        <c:manualLayout>
          <c:layoutTarget val="inner"/>
          <c:xMode val="edge"/>
          <c:yMode val="edge"/>
          <c:x val="3.1030072738767855E-2"/>
          <c:y val="0.20110211917954701"/>
          <c:w val="0.95594834256956973"/>
          <c:h val="0.67195453562451468"/>
        </c:manualLayout>
      </c:layout>
      <c:lineChart>
        <c:grouping val="standard"/>
        <c:varyColors val="0"/>
        <c:ser>
          <c:idx val="0"/>
          <c:order val="0"/>
          <c:tx>
            <c:strRef>
              <c:f>Sheet1!$B$1</c:f>
              <c:strCache>
                <c:ptCount val="1"/>
                <c:pt idx="0">
                  <c:v>Revenue from power trading</c:v>
                </c:pt>
              </c:strCache>
            </c:strRef>
          </c:tx>
          <c:spPr>
            <a:ln w="19050"/>
          </c:spPr>
          <c:marker>
            <c:symbol val="none"/>
          </c:marker>
          <c:dPt>
            <c:idx val="5"/>
            <c:bubble3D val="0"/>
            <c:spPr>
              <a:ln w="19050">
                <a:prstDash val="sysDash"/>
              </a:ln>
            </c:spPr>
          </c:dPt>
          <c:dLbls>
            <c:dLbl>
              <c:idx val="0"/>
              <c:layout>
                <c:manualLayout>
                  <c:x val="-3.163030947954857E-2"/>
                  <c:y val="-4.72249414769099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926-44C8-A444-F337D9913D0F}"/>
                </c:ext>
                <c:ext xmlns:c15="http://schemas.microsoft.com/office/drawing/2012/chart" uri="{CE6537A1-D6FC-4f65-9D91-7224C49458BB}"/>
              </c:extLst>
            </c:dLbl>
            <c:dLbl>
              <c:idx val="1"/>
              <c:layout>
                <c:manualLayout>
                  <c:x val="-5.561298418296861E-2"/>
                  <c:y val="-8.84119519782250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26-44C8-A444-F337D9913D0F}"/>
                </c:ext>
                <c:ext xmlns:c15="http://schemas.microsoft.com/office/drawing/2012/chart" uri="{CE6537A1-D6FC-4f65-9D91-7224C49458BB}"/>
              </c:extLst>
            </c:dLbl>
            <c:dLbl>
              <c:idx val="2"/>
              <c:layout>
                <c:manualLayout>
                  <c:x val="-8.091285308309365E-2"/>
                  <c:y val="-7.57755540974044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926-44C8-A444-F337D9913D0F}"/>
                </c:ext>
                <c:ext xmlns:c15="http://schemas.microsoft.com/office/drawing/2012/chart" uri="{CE6537A1-D6FC-4f65-9D91-7224C49458BB}"/>
              </c:extLst>
            </c:dLbl>
            <c:dLbl>
              <c:idx val="3"/>
              <c:layout>
                <c:manualLayout>
                  <c:x val="-0.13019228516549547"/>
                  <c:y val="-7.76784412365121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926-44C8-A444-F337D9913D0F}"/>
                </c:ext>
                <c:ext xmlns:c15="http://schemas.microsoft.com/office/drawing/2012/chart" uri="{CE6537A1-D6FC-4f65-9D91-7224C49458BB}"/>
              </c:extLst>
            </c:dLbl>
            <c:dLbl>
              <c:idx val="4"/>
              <c:layout>
                <c:manualLayout>
                  <c:x val="-7.0014714637132561E-2"/>
                  <c:y val="-4.8454359871682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926-44C8-A444-F337D9913D0F}"/>
                </c:ext>
                <c:ext xmlns:c15="http://schemas.microsoft.com/office/drawing/2012/chart" uri="{CE6537A1-D6FC-4f65-9D91-7224C49458BB}"/>
              </c:extLst>
            </c:dLbl>
            <c:dLbl>
              <c:idx val="5"/>
              <c:layout>
                <c:manualLayout>
                  <c:x val="-6.1595499832149458E-2"/>
                  <c:y val="-5.8405061939879918E-2"/>
                </c:manualLayout>
              </c:layout>
              <c:tx>
                <c:rich>
                  <a:bodyPr/>
                  <a:lstStyle/>
                  <a:p>
                    <a:fld id="{5E475BFA-BFC7-4FA6-9005-D8441C75C07B}" type="VALUE">
                      <a:rPr lang="en-US">
                        <a:solidFill>
                          <a:schemeClr val="tx1"/>
                        </a:solidFill>
                      </a:rPr>
                      <a:pPr/>
                      <a:t>[VALUE]</a:t>
                    </a:fld>
                    <a:endParaRPr lang="en-IN"/>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926-44C8-A444-F337D9913D0F}"/>
                </c:ext>
                <c:ext xmlns:c15="http://schemas.microsoft.com/office/drawing/2012/chart" uri="{CE6537A1-D6FC-4f65-9D91-7224C49458BB}">
                  <c15:dlblFieldTable/>
                  <c15:showDataLabelsRange val="0"/>
                </c:ext>
              </c:extLst>
            </c:dLbl>
            <c:dLbl>
              <c:idx val="6"/>
              <c:layout>
                <c:manualLayout>
                  <c:x val="3.911043979015226E-3"/>
                  <c:y val="2.1187836586642993E-3"/>
                </c:manualLayout>
              </c:layout>
              <c:tx>
                <c:rich>
                  <a:bodyPr/>
                  <a:lstStyle/>
                  <a:p>
                    <a:r>
                      <a:rPr lang="en-US"/>
                      <a:t>5443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926-44C8-A444-F337D9913D0F}"/>
                </c:ext>
                <c:ext xmlns:c15="http://schemas.microsoft.com/office/drawing/2012/chart" uri="{CE6537A1-D6FC-4f65-9D91-7224C49458BB}"/>
              </c:extLst>
            </c:dLbl>
            <c:dLbl>
              <c:idx val="7"/>
              <c:layout>
                <c:manualLayout>
                  <c:x val="2.5194427341169187E-4"/>
                  <c:y val="1.5325203815891224E-3"/>
                </c:manualLayout>
              </c:layout>
              <c:tx>
                <c:rich>
                  <a:bodyPr/>
                  <a:lstStyle/>
                  <a:p>
                    <a:r>
                      <a:rPr lang="en-US"/>
                      <a:t>7284.85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944-4A9C-8CB2-370F9D235BB6}"/>
                </c:ext>
                <c:ext xmlns:c15="http://schemas.microsoft.com/office/drawing/2012/chart" uri="{CE6537A1-D6FC-4f65-9D91-7224C49458BB}"/>
              </c:extLst>
            </c:dLbl>
            <c:dLbl>
              <c:idx val="8"/>
              <c:layout>
                <c:manualLayout>
                  <c:x val="-8.7637460902986893E-4"/>
                  <c:y val="2.9797562531859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944-4A9C-8CB2-370F9D235BB6}"/>
                </c:ext>
                <c:ext xmlns:c15="http://schemas.microsoft.com/office/drawing/2012/chart" uri="{CE6537A1-D6FC-4f65-9D91-7224C49458BB}">
                  <c15:layout>
                    <c:manualLayout>
                      <c:w val="0.23531231072077524"/>
                      <c:h val="0.11998249069818341"/>
                    </c:manualLayout>
                  </c15:layout>
                </c:ext>
              </c:extLst>
            </c:dLbl>
            <c:dLbl>
              <c:idx val="9"/>
              <c:layout>
                <c:manualLayout>
                  <c:x val="-2.7727811610686473E-3"/>
                  <c:y val="4.174008397969311E-3"/>
                </c:manualLayout>
              </c:layout>
              <c:tx>
                <c:rich>
                  <a:bodyPr/>
                  <a:lstStyle/>
                  <a:p>
                    <a:fld id="{38C43777-9F20-44F5-A520-C4D10248D17D}" type="VALUE">
                      <a:rPr lang="en-US" sz="1400" dirty="0">
                        <a:solidFill>
                          <a:schemeClr val="tx1"/>
                        </a:solidFill>
                      </a:rPr>
                      <a:pPr/>
                      <a:t>[VALUE]</a:t>
                    </a:fld>
                    <a:endParaRPr lang="en-IN"/>
                  </a:p>
                </c:rich>
              </c:tx>
              <c:showLegendKey val="0"/>
              <c:showVal val="1"/>
              <c:showCatName val="0"/>
              <c:showSerName val="0"/>
              <c:showPercent val="0"/>
              <c:showBubbleSize val="0"/>
              <c:extLst>
                <c:ext xmlns:c15="http://schemas.microsoft.com/office/drawing/2012/chart" uri="{CE6537A1-D6FC-4f65-9D91-7224C49458BB}">
                  <c15:layout>
                    <c:manualLayout>
                      <c:w val="0.16045312409434617"/>
                      <c:h val="8.4738297384371331E-2"/>
                    </c:manualLayout>
                  </c15:layout>
                  <c15:dlblFieldTable/>
                  <c15:showDataLabelsRange val="0"/>
                </c:ext>
              </c:extLst>
            </c:dLbl>
            <c:spPr>
              <a:noFill/>
              <a:ln w="25276">
                <a:noFill/>
              </a:ln>
            </c:spPr>
            <c:txPr>
              <a:bodyPr rot="0" vert="horz"/>
              <a:lstStyle/>
              <a:p>
                <a:pPr>
                  <a:defRPr sz="1000">
                    <a:solidFill>
                      <a:schemeClr val="tx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2019-20</c:v>
                </c:pt>
                <c:pt idx="1">
                  <c:v>2020-21 </c:v>
                </c:pt>
                <c:pt idx="2">
                  <c:v>2021-22</c:v>
                </c:pt>
                <c:pt idx="3">
                  <c:v>2022-23</c:v>
                </c:pt>
                <c:pt idx="4">
                  <c:v>2023-24 (Prov.)</c:v>
                </c:pt>
              </c:strCache>
            </c:strRef>
          </c:cat>
          <c:val>
            <c:numRef>
              <c:f>Sheet1!$B$2:$B$6</c:f>
              <c:numCache>
                <c:formatCode>General</c:formatCode>
                <c:ptCount val="5"/>
                <c:pt idx="0">
                  <c:v>4626</c:v>
                </c:pt>
                <c:pt idx="1">
                  <c:v>5442.88</c:v>
                </c:pt>
                <c:pt idx="2">
                  <c:v>7284.85</c:v>
                </c:pt>
                <c:pt idx="3">
                  <c:v>10795.07</c:v>
                </c:pt>
                <c:pt idx="4">
                  <c:v>13035.07</c:v>
                </c:pt>
              </c:numCache>
            </c:numRef>
          </c:val>
          <c:smooth val="0"/>
          <c:extLst xmlns:c16r2="http://schemas.microsoft.com/office/drawing/2015/06/chart">
            <c:ext xmlns:c16="http://schemas.microsoft.com/office/drawing/2014/chart" uri="{C3380CC4-5D6E-409C-BE32-E72D297353CC}">
              <c16:uniqueId val="{00000007-D926-44C8-A444-F337D9913D0F}"/>
            </c:ext>
          </c:extLst>
        </c:ser>
        <c:dLbls>
          <c:showLegendKey val="0"/>
          <c:showVal val="0"/>
          <c:showCatName val="0"/>
          <c:showSerName val="0"/>
          <c:showPercent val="0"/>
          <c:showBubbleSize val="0"/>
        </c:dLbls>
        <c:smooth val="0"/>
        <c:axId val="559370736"/>
        <c:axId val="559365640"/>
      </c:lineChart>
      <c:catAx>
        <c:axId val="559370736"/>
        <c:scaling>
          <c:orientation val="minMax"/>
        </c:scaling>
        <c:delete val="0"/>
        <c:axPos val="b"/>
        <c:numFmt formatCode="General" sourceLinked="1"/>
        <c:majorTickMark val="out"/>
        <c:minorTickMark val="none"/>
        <c:tickLblPos val="nextTo"/>
        <c:spPr>
          <a:noFill/>
          <a:ln w="9478" cap="flat" cmpd="sng" algn="ctr">
            <a:solidFill>
              <a:schemeClr val="tx1">
                <a:lumMod val="15000"/>
                <a:lumOff val="85000"/>
              </a:schemeClr>
            </a:solidFill>
            <a:round/>
          </a:ln>
          <a:effectLst/>
        </c:spPr>
        <c:txPr>
          <a:bodyPr rot="-60000000" vert="horz"/>
          <a:lstStyle/>
          <a:p>
            <a:pPr>
              <a:defRPr sz="1000"/>
            </a:pPr>
            <a:endParaRPr lang="en-US"/>
          </a:p>
        </c:txPr>
        <c:crossAx val="559365640"/>
        <c:crosses val="autoZero"/>
        <c:auto val="1"/>
        <c:lblAlgn val="ctr"/>
        <c:lblOffset val="100"/>
        <c:noMultiLvlLbl val="0"/>
      </c:catAx>
      <c:valAx>
        <c:axId val="559365640"/>
        <c:scaling>
          <c:orientation val="minMax"/>
        </c:scaling>
        <c:delete val="1"/>
        <c:axPos val="l"/>
        <c:numFmt formatCode="General" sourceLinked="1"/>
        <c:majorTickMark val="out"/>
        <c:minorTickMark val="none"/>
        <c:tickLblPos val="nextTo"/>
        <c:crossAx val="559370736"/>
        <c:crosses val="autoZero"/>
        <c:crossBetween val="between"/>
      </c:valAx>
      <c:spPr>
        <a:noFill/>
        <a:ln w="25276">
          <a:noFill/>
        </a:ln>
      </c:spPr>
    </c:plotArea>
    <c:plotVisOnly val="1"/>
    <c:dispBlanksAs val="gap"/>
    <c:showDLblsOverMax val="0"/>
  </c:chart>
  <c:spPr>
    <a:noFill/>
    <a:ln>
      <a:solidFill>
        <a:schemeClr val="tx1"/>
      </a:solidFill>
    </a:ln>
  </c:spPr>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cp:revision>
  <dcterms:created xsi:type="dcterms:W3CDTF">2024-07-16T05:37:00Z</dcterms:created>
  <dcterms:modified xsi:type="dcterms:W3CDTF">2024-07-16T05:38:00Z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2013</vt:lpwstr>
  </property>
  <property fmtid="{D5CDD505-2E9C-101B-9397-08002B2CF9AE}" pid="4" name="LastSaved">
    <vt:filetime>2022-08-08T00:00:00Z</vt:filetime>
  </property>
</Properties>
</file>